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kinsoku/>
        <w:autoSpaceDE/>
        <w:autoSpaceDN/>
        <w:adjustRightInd/>
        <w:spacing w:before="156" w:beforeLines="50" w:after="156" w:afterLines="50" w:line="560" w:lineRule="exact"/>
        <w:jc w:val="both"/>
        <w:textAlignment w:val="auto"/>
        <w:rPr>
          <w:rFonts w:ascii="Times New Roman" w:hAnsi="Times New Roman" w:eastAsia="黑体" w:cs="Times New Roman"/>
          <w:spacing w:val="40"/>
          <w:kern w:val="2"/>
          <w:sz w:val="32"/>
          <w:szCs w:val="32"/>
          <w:shd w:val="clear" w:color="auto" w:fill="FFFFFF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2"/>
          <w:sz w:val="32"/>
          <w:szCs w:val="32"/>
          <w:lang w:eastAsia="zh-CN" w:bidi="ar"/>
        </w:rPr>
        <w:t>附件2</w:t>
      </w:r>
      <w:r>
        <w:rPr>
          <w:rFonts w:hint="default" w:ascii="黑体" w:hAnsi="黑体" w:eastAsia="黑体" w:cs="黑体"/>
          <w:kern w:val="2"/>
          <w:sz w:val="32"/>
          <w:szCs w:val="32"/>
          <w:lang w:eastAsia="zh-CN" w:bidi="ar"/>
        </w:rPr>
        <w:t>-2</w:t>
      </w:r>
      <w:r>
        <w:rPr>
          <w:rFonts w:ascii="Times New Roman" w:hAnsi="Times New Roman" w:eastAsia="黑体" w:cs="Times New Roman"/>
          <w:spacing w:val="40"/>
          <w:kern w:val="2"/>
          <w:sz w:val="32"/>
          <w:szCs w:val="32"/>
          <w:shd w:val="clear" w:color="auto" w:fill="FFFFFF"/>
          <w:lang w:eastAsia="zh-CN" w:bidi="ar"/>
        </w:rPr>
        <w:t xml:space="preserve"> </w:t>
      </w:r>
    </w:p>
    <w:p>
      <w:pPr>
        <w:widowControl w:val="0"/>
        <w:kinsoku/>
        <w:autoSpaceDE/>
        <w:autoSpaceDN/>
        <w:adjustRightInd/>
        <w:spacing w:before="156" w:beforeLines="50" w:after="156" w:afterLines="50" w:line="560" w:lineRule="exact"/>
        <w:jc w:val="center"/>
        <w:textAlignment w:val="auto"/>
        <w:rPr>
          <w:rFonts w:ascii="方正小标宋_GBK" w:hAnsi="方正小标宋_GBK" w:eastAsia="方正小标宋_GBK" w:cs="方正小标宋_GBK"/>
          <w:kern w:val="2"/>
          <w:sz w:val="36"/>
          <w:szCs w:val="36"/>
          <w:lang w:eastAsia="zh-CN" w:bidi="ar"/>
        </w:rPr>
      </w:pPr>
      <w:r>
        <w:rPr>
          <w:rFonts w:ascii="方正小标宋_GBK" w:hAnsi="方正小标宋_GBK" w:eastAsia="方正小标宋_GBK" w:cs="方正小标宋_GBK"/>
          <w:kern w:val="2"/>
          <w:sz w:val="36"/>
          <w:szCs w:val="36"/>
          <w:lang w:eastAsia="zh-CN" w:bidi="ar"/>
        </w:rPr>
        <w:t>广东省智慧公路</w:t>
      </w:r>
      <w:r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eastAsia="zh-CN" w:bidi="ar"/>
        </w:rPr>
        <w:t>试点</w:t>
      </w:r>
      <w:r>
        <w:rPr>
          <w:rFonts w:ascii="方正小标宋_GBK" w:hAnsi="方正小标宋_GBK" w:eastAsia="方正小标宋_GBK" w:cs="方正小标宋_GBK"/>
          <w:kern w:val="2"/>
          <w:sz w:val="36"/>
          <w:szCs w:val="36"/>
          <w:lang w:eastAsia="zh-CN" w:bidi="ar"/>
        </w:rPr>
        <w:t>项目</w:t>
      </w:r>
      <w:r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eastAsia="zh-CN" w:bidi="ar"/>
        </w:rPr>
        <w:t>任务表</w:t>
      </w:r>
    </w:p>
    <w:tbl>
      <w:tblPr>
        <w:tblStyle w:val="4"/>
        <w:tblW w:w="4998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3"/>
        <w:gridCol w:w="2014"/>
        <w:gridCol w:w="673"/>
        <w:gridCol w:w="1340"/>
        <w:gridCol w:w="23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2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eastAsia="微软雅黑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eastAsia="zh-CN" w:bidi="ar"/>
              </w:rPr>
              <w:t>项目名称</w:t>
            </w:r>
          </w:p>
        </w:tc>
        <w:tc>
          <w:tcPr>
            <w:tcW w:w="3724" w:type="pct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eastAsia="zh-CN" w:bidi="ar"/>
              </w:rPr>
              <w:t>港珠澳大桥珠海连接线拱北隧道智慧维养试点——</w:t>
            </w:r>
          </w:p>
          <w:p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eastAsia="微软雅黑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eastAsia="zh-CN" w:bidi="ar"/>
              </w:rPr>
              <w:t>隧道健康监测及智慧养护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2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eastAsia="zh-CN" w:bidi="ar"/>
              </w:rPr>
              <w:t>项目负责人</w:t>
            </w:r>
          </w:p>
        </w:tc>
        <w:tc>
          <w:tcPr>
            <w:tcW w:w="1577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eastAsia="zh-CN" w:bidi="ar"/>
              </w:rPr>
              <w:t>陈维家</w:t>
            </w:r>
          </w:p>
        </w:tc>
        <w:tc>
          <w:tcPr>
            <w:tcW w:w="7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eastAsia="zh-CN" w:bidi="ar"/>
              </w:rPr>
              <w:t>联系方式</w:t>
            </w:r>
          </w:p>
        </w:tc>
        <w:tc>
          <w:tcPr>
            <w:tcW w:w="1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eastAsia="微软雅黑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eastAsia="zh-CN" w:bidi="ar"/>
              </w:rPr>
              <w:t>申报单位名称</w:t>
            </w:r>
          </w:p>
        </w:tc>
        <w:tc>
          <w:tcPr>
            <w:tcW w:w="3724" w:type="pct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eastAsia="微软雅黑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eastAsia="zh-CN" w:bidi="ar"/>
              </w:rPr>
              <w:t>港珠澳大桥连接线管理中心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2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 w:bidi="ar"/>
              </w:rPr>
              <w:t>参建单位</w:t>
            </w:r>
          </w:p>
        </w:tc>
        <w:tc>
          <w:tcPr>
            <w:tcW w:w="3724" w:type="pct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 w:bidi="ar"/>
              </w:rPr>
              <w:t>1.珠海交通集团</w:t>
            </w:r>
          </w:p>
          <w:p>
            <w:pPr>
              <w:widowControl w:val="0"/>
              <w:kinsoku/>
              <w:autoSpaceDE/>
              <w:autoSpaceDN/>
              <w:adjustRightInd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 w:bidi="ar"/>
              </w:rPr>
              <w:t>2.招商局重庆交通科研设计院有限公司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 w:bidi="ar"/>
              </w:rPr>
              <w:t>项目基本情况</w:t>
            </w:r>
          </w:p>
        </w:tc>
        <w:tc>
          <w:tcPr>
            <w:tcW w:w="3724" w:type="pct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FFFFFF"/>
                <w:lang w:eastAsia="zh-CN" w:bidi="ar"/>
              </w:rPr>
              <w:t>本项目立足国家智慧交通发展重大需求，开展基于拱北隧道的智慧维养技术及试点研究，提出隧道“健康监测-评估决策-预防养护”一体化解决方案，提升隧道工程在运营与管养环节的科学化、智能化、精细化水平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 w:bidi="ar"/>
              </w:rPr>
              <w:t>应用场景</w:t>
            </w:r>
          </w:p>
        </w:tc>
        <w:tc>
          <w:tcPr>
            <w:tcW w:w="3724" w:type="pct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FFFFFF"/>
                <w:lang w:eastAsia="zh-CN" w:bidi="ar"/>
              </w:rPr>
              <w:t>结构健康监测、灾情侦察及智能应急处置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 w:bidi="ar"/>
              </w:rPr>
              <w:t>项目建设起止年月</w:t>
            </w:r>
          </w:p>
        </w:tc>
        <w:tc>
          <w:tcPr>
            <w:tcW w:w="3724" w:type="pct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2024年1月</w:t>
            </w: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</w:rPr>
              <w:t>-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2025年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 w:bidi="ar"/>
              </w:rPr>
              <w:t>主要建设方案</w:t>
            </w:r>
          </w:p>
        </w:tc>
        <w:tc>
          <w:tcPr>
            <w:tcW w:w="3724" w:type="pct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FFFFFF"/>
                <w:lang w:eastAsia="zh-CN" w:bidi="ar"/>
              </w:rPr>
              <w:t>本项目以港珠澳大桥珠海连接线的关键性工程——拱北隧道为工程背景，融合多源感知、人工智能、数字孪生、智慧决策等技术，围绕隧道服役结构健康监测全息感知系统（含养护评估决策系统）、隧道灾险智能应急疏控系统二个方面开展深入研究，形成公路隧道“健康监测-评估决策-预防养护”关键技术体系，建立海底双层隧道结构健康监测与智慧养护的工程，提升拱北隧道安全保障及运维质效，为公路隧道智能化转型升级提供技术支撑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 w:bidi="ar"/>
              </w:rPr>
              <w:t>拟解决的关键问题</w:t>
            </w:r>
          </w:p>
        </w:tc>
        <w:tc>
          <w:tcPr>
            <w:tcW w:w="3724" w:type="pct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FFFFFF"/>
                <w:lang w:eastAsia="zh-CN" w:bidi="ar"/>
              </w:rPr>
              <w:t>1）准确获取隧道服役信息——融合自动化、机器视觉、人工智能、数字化等新技术，实现隧道系统立体信息数字化、网联化与智能化感知。</w:t>
            </w:r>
          </w:p>
          <w:p>
            <w:pPr>
              <w:widowControl w:val="0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FFFFFF"/>
                <w:lang w:eastAsia="zh-CN" w:bidi="ar"/>
              </w:rPr>
              <w:t>2）综合评估隧道服役状态——基于数值仿真与数字孪生等技术，构建拱北隧道养护评估决策系统，实现隧道评估与养护决策的一体化、数字化及智能化。</w:t>
            </w:r>
          </w:p>
          <w:p>
            <w:pPr>
              <w:widowControl w:val="0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FFFFFF"/>
                <w:lang w:eastAsia="zh-CN" w:bidi="ar"/>
              </w:rPr>
              <w:t>3）科学应对隧道应急处置——研发隧道典型灾险条件下的疏散救援智能决策、人员疏散引导、柔性阻拦等技术，降低隧道的灾险危害，实现灾中的最优对应。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2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 w:bidi="ar"/>
              </w:rPr>
              <w:t>预期成果及形式</w:t>
            </w:r>
          </w:p>
        </w:tc>
        <w:tc>
          <w:tcPr>
            <w:tcW w:w="3724" w:type="pct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 w:bidi="ar"/>
              </w:rPr>
              <w:t>注：项目预期取得的研究开发成果及形式（须明确产品、专利、版权、标准等成果的类型及数量）。</w:t>
            </w:r>
          </w:p>
          <w:p>
            <w:pPr>
              <w:widowControl w:val="0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FFFFFF"/>
                <w:lang w:eastAsia="zh-CN" w:bidi="ar"/>
              </w:rPr>
              <w:t>1）港珠澳大桥珠海连接线拱北隧道健康监测及智慧养护系统平台1套；</w:t>
            </w:r>
          </w:p>
          <w:p>
            <w:pPr>
              <w:widowControl w:val="0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FFFFFF"/>
                <w:lang w:eastAsia="zh-CN" w:bidi="ar"/>
              </w:rPr>
              <w:t>2）港珠澳大桥珠海连接线拱北隧道健康监测及智慧养护工程1项；</w:t>
            </w:r>
          </w:p>
          <w:p>
            <w:pPr>
              <w:widowControl w:val="0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FFFFFF"/>
                <w:lang w:eastAsia="zh-CN" w:bidi="ar"/>
              </w:rPr>
              <w:t>3）《海底冻结法公路隧道健康监测技术指南》1部。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eastAsia="微软雅黑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eastAsia="zh-CN" w:bidi="ar"/>
              </w:rPr>
              <w:t>项目考核指标</w:t>
            </w:r>
          </w:p>
        </w:tc>
        <w:tc>
          <w:tcPr>
            <w:tcW w:w="3724" w:type="pct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eastAsia="zh-CN" w:bidi="ar"/>
              </w:rPr>
              <w:t>注：主要技术指标、经济指标及社会效益等。</w:t>
            </w:r>
          </w:p>
          <w:p>
            <w:pPr>
              <w:widowControl w:val="0"/>
              <w:ind w:firstLine="481" w:firstLineChars="200"/>
              <w:jc w:val="both"/>
              <w:rPr>
                <w:rFonts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shd w:val="clear" w:color="auto" w:fill="FFFFFF"/>
                <w:lang w:eastAsia="zh-CN" w:bidi="ar"/>
              </w:rPr>
              <w:t>技术指标：</w:t>
            </w:r>
            <w:r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shd w:val="clear" w:color="auto" w:fill="FFFFFF"/>
                <w:lang w:eastAsia="zh-CN" w:bidi="ar"/>
              </w:rPr>
              <w:t>隧道结构健康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shd w:val="clear" w:color="auto" w:fill="FFFFFF"/>
                <w:lang w:eastAsia="zh-CN" w:bidi="ar"/>
              </w:rPr>
              <w:t>监测全自动化</w:t>
            </w:r>
            <w:r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shd w:val="clear" w:color="auto" w:fill="FFFFFF"/>
                <w:lang w:eastAsia="zh-CN" w:bidi="ar"/>
              </w:rPr>
              <w:t>，监测指标不少于5种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shd w:val="clear" w:color="auto" w:fill="FFFFFF"/>
                <w:lang w:eastAsia="zh-CN" w:bidi="ar"/>
              </w:rPr>
              <w:t>，结构位移监测精度提升至亚毫米级；隧道表观病害检测指标不少于3种，病害识别准确率不低于8</w:t>
            </w:r>
            <w:r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shd w:val="clear" w:color="auto" w:fill="FFFFFF"/>
                <w:lang w:eastAsia="zh-CN" w:bidi="ar"/>
              </w:rPr>
              <w:t>0%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shd w:val="clear" w:color="auto" w:fill="FFFFFF"/>
                <w:lang w:eastAsia="zh-CN" w:bidi="ar"/>
              </w:rPr>
              <w:t>；隧道结构健康状态日常诊断时长不大于5min；隧道火灾灾源定位精度不大于5米，系统启动应急响应时间不超过1</w:t>
            </w:r>
            <w:r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shd w:val="clear" w:color="auto" w:fill="FFFFFF"/>
                <w:lang w:eastAsia="zh-CN" w:bidi="ar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shd w:val="clear" w:color="auto" w:fill="FFFFFF"/>
                <w:lang w:eastAsia="zh-CN" w:bidi="ar"/>
              </w:rPr>
              <w:t>s。</w:t>
            </w:r>
          </w:p>
          <w:p>
            <w:pPr>
              <w:widowControl w:val="0"/>
              <w:ind w:firstLine="481" w:firstLineChars="200"/>
              <w:jc w:val="both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shd w:val="clear" w:color="auto" w:fill="FFFFFF"/>
                <w:lang w:eastAsia="zh-CN" w:bidi="ar"/>
              </w:rPr>
              <w:t>经济指标：</w:t>
            </w:r>
            <w:r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shd w:val="clear" w:color="auto" w:fill="FFFFFF"/>
                <w:lang w:eastAsia="zh-CN" w:bidi="ar"/>
              </w:rPr>
              <w:t>有效提升拱北隧道韧性及管养经济性，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shd w:val="clear" w:color="auto" w:fill="FFFFFF"/>
                <w:lang w:eastAsia="zh-CN" w:bidi="ar"/>
              </w:rPr>
              <w:t>降低拱北隧道运营养护与管理成本，</w:t>
            </w:r>
            <w:r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shd w:val="clear" w:color="auto" w:fill="FFFFFF"/>
                <w:lang w:eastAsia="zh-CN" w:bidi="ar"/>
              </w:rPr>
              <w:t>延长隧道使用寿命。</w:t>
            </w:r>
          </w:p>
          <w:p>
            <w:pPr>
              <w:widowControl w:val="0"/>
              <w:ind w:firstLine="481" w:firstLineChars="200"/>
              <w:jc w:val="both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shd w:val="clear" w:color="auto" w:fill="FFFFFF"/>
                <w:lang w:eastAsia="zh-CN" w:bidi="ar"/>
              </w:rPr>
              <w:t>社会效益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shd w:val="clear" w:color="auto" w:fill="FFFFFF"/>
                <w:lang w:eastAsia="zh-CN" w:bidi="ar"/>
              </w:rPr>
              <w:t>：</w:t>
            </w:r>
            <w:r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shd w:val="clear" w:color="auto" w:fill="FFFFFF"/>
                <w:lang w:eastAsia="zh-CN" w:bidi="ar"/>
              </w:rPr>
              <w:t>项目将形成海底双层隧道智慧化运维的试点，实现感知-孪生-评估-处置全链条的隧道智慧管养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shd w:val="clear" w:color="auto" w:fill="FFFFFF"/>
                <w:lang w:eastAsia="zh-CN" w:bidi="ar"/>
              </w:rPr>
              <w:t>，</w:t>
            </w:r>
            <w:r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shd w:val="clear" w:color="auto" w:fill="FFFFFF"/>
                <w:lang w:eastAsia="zh-CN" w:bidi="ar"/>
              </w:rPr>
              <w:t>为拱北隧道安全、稳定服役提供重要保障，为人们提供更加便捷、安全和舒适的出行体验，并为粤港澳大湾区智慧交通建设提供辐射。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2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 w:bidi="ar"/>
              </w:rPr>
              <w:t>投资估算</w:t>
            </w:r>
          </w:p>
          <w:p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 w:bidi="ar"/>
              </w:rPr>
              <w:t>（万元）</w:t>
            </w:r>
          </w:p>
        </w:tc>
        <w:tc>
          <w:tcPr>
            <w:tcW w:w="11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  <w:t>1600</w:t>
            </w:r>
          </w:p>
        </w:tc>
        <w:tc>
          <w:tcPr>
            <w:tcW w:w="1181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 w:bidi="ar"/>
              </w:rPr>
              <w:t>经费来源</w:t>
            </w:r>
          </w:p>
        </w:tc>
        <w:tc>
          <w:tcPr>
            <w:tcW w:w="1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 w:bidi="ar"/>
              </w:rPr>
              <w:t>单位自筹（建设期结余资金 ）+地方财政（或有）</w:t>
            </w:r>
          </w:p>
        </w:tc>
      </w:tr>
    </w:tbl>
    <w:p>
      <w:pPr>
        <w:widowControl w:val="0"/>
        <w:spacing w:line="560" w:lineRule="exact"/>
        <w:jc w:val="both"/>
        <w:rPr>
          <w:rFonts w:ascii="仿宋_GB2312" w:hAnsi="Calibri" w:eastAsia="仿宋_GB2312" w:cs="仿宋_GB2312"/>
          <w:kern w:val="2"/>
          <w:sz w:val="32"/>
          <w:szCs w:val="32"/>
          <w:lang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_GBK">
    <w:altName w:val="方正小标宋简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汉仪旗黑KW 55S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KW 55S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Q1YjdiOTQyOWNkZjYyOTAyN2ExOWU5YzBkNGMzNzgifQ=="/>
  </w:docVars>
  <w:rsids>
    <w:rsidRoot w:val="002818F6"/>
    <w:rsid w:val="00005E4F"/>
    <w:rsid w:val="00017E23"/>
    <w:rsid w:val="0015028D"/>
    <w:rsid w:val="0027561F"/>
    <w:rsid w:val="00281754"/>
    <w:rsid w:val="002818F6"/>
    <w:rsid w:val="002C1239"/>
    <w:rsid w:val="002E2082"/>
    <w:rsid w:val="0032381A"/>
    <w:rsid w:val="005363D7"/>
    <w:rsid w:val="006431B7"/>
    <w:rsid w:val="0075491B"/>
    <w:rsid w:val="00755944"/>
    <w:rsid w:val="00761CF9"/>
    <w:rsid w:val="007B5E07"/>
    <w:rsid w:val="00814FC1"/>
    <w:rsid w:val="00846057"/>
    <w:rsid w:val="008A291E"/>
    <w:rsid w:val="009E3E6A"/>
    <w:rsid w:val="00B43790"/>
    <w:rsid w:val="00B527CA"/>
    <w:rsid w:val="00BC25D0"/>
    <w:rsid w:val="00C5519D"/>
    <w:rsid w:val="00CC05C9"/>
    <w:rsid w:val="00D531B6"/>
    <w:rsid w:val="00DC7DA5"/>
    <w:rsid w:val="00E26435"/>
    <w:rsid w:val="00E37377"/>
    <w:rsid w:val="00EA3E93"/>
    <w:rsid w:val="00F42DF0"/>
    <w:rsid w:val="01DB1C07"/>
    <w:rsid w:val="01E9505B"/>
    <w:rsid w:val="02190C7D"/>
    <w:rsid w:val="02273B3B"/>
    <w:rsid w:val="02717E45"/>
    <w:rsid w:val="02EE78B8"/>
    <w:rsid w:val="0300694B"/>
    <w:rsid w:val="041E537C"/>
    <w:rsid w:val="04F70F6D"/>
    <w:rsid w:val="051E7E60"/>
    <w:rsid w:val="05374ADD"/>
    <w:rsid w:val="056078B8"/>
    <w:rsid w:val="057B0A5A"/>
    <w:rsid w:val="05AA61CC"/>
    <w:rsid w:val="05E11C8A"/>
    <w:rsid w:val="06AB6B9E"/>
    <w:rsid w:val="06C769D9"/>
    <w:rsid w:val="06C87E25"/>
    <w:rsid w:val="07AF0C52"/>
    <w:rsid w:val="07B14DE9"/>
    <w:rsid w:val="08C05C87"/>
    <w:rsid w:val="08CF46D8"/>
    <w:rsid w:val="090B025C"/>
    <w:rsid w:val="09214F82"/>
    <w:rsid w:val="09B61930"/>
    <w:rsid w:val="0A054D20"/>
    <w:rsid w:val="0A0577D4"/>
    <w:rsid w:val="0A3D169D"/>
    <w:rsid w:val="0A58404C"/>
    <w:rsid w:val="0B5C5D5C"/>
    <w:rsid w:val="0B787FC5"/>
    <w:rsid w:val="0BC36EC8"/>
    <w:rsid w:val="0C414692"/>
    <w:rsid w:val="0D0E2560"/>
    <w:rsid w:val="0D322306"/>
    <w:rsid w:val="0D9C239C"/>
    <w:rsid w:val="0FB73685"/>
    <w:rsid w:val="112706A3"/>
    <w:rsid w:val="11A062BA"/>
    <w:rsid w:val="11CA4D23"/>
    <w:rsid w:val="11CB2DB8"/>
    <w:rsid w:val="1247064C"/>
    <w:rsid w:val="12475E45"/>
    <w:rsid w:val="131B1B9F"/>
    <w:rsid w:val="14287053"/>
    <w:rsid w:val="14482601"/>
    <w:rsid w:val="145F4480"/>
    <w:rsid w:val="14B50918"/>
    <w:rsid w:val="14E23308"/>
    <w:rsid w:val="14FA493A"/>
    <w:rsid w:val="195F6EF8"/>
    <w:rsid w:val="1A161863"/>
    <w:rsid w:val="1A773623"/>
    <w:rsid w:val="1AA2204E"/>
    <w:rsid w:val="1B79766A"/>
    <w:rsid w:val="1B824942"/>
    <w:rsid w:val="1B95090B"/>
    <w:rsid w:val="1BFE5C5E"/>
    <w:rsid w:val="1C06174D"/>
    <w:rsid w:val="1C745F1C"/>
    <w:rsid w:val="1CFF21AE"/>
    <w:rsid w:val="1D2F55DF"/>
    <w:rsid w:val="1D3F66B9"/>
    <w:rsid w:val="1D800E1C"/>
    <w:rsid w:val="1DD67E32"/>
    <w:rsid w:val="1E2C4A7B"/>
    <w:rsid w:val="1ED769EC"/>
    <w:rsid w:val="1F1474DD"/>
    <w:rsid w:val="1F6C2287"/>
    <w:rsid w:val="1F98230F"/>
    <w:rsid w:val="1FFE54E5"/>
    <w:rsid w:val="20944BBD"/>
    <w:rsid w:val="21071769"/>
    <w:rsid w:val="214D2D83"/>
    <w:rsid w:val="217B1F56"/>
    <w:rsid w:val="21F16DFB"/>
    <w:rsid w:val="22006648"/>
    <w:rsid w:val="22170FD9"/>
    <w:rsid w:val="2269715C"/>
    <w:rsid w:val="22701700"/>
    <w:rsid w:val="22BA14D2"/>
    <w:rsid w:val="22C17AD8"/>
    <w:rsid w:val="23C562AB"/>
    <w:rsid w:val="23D71F8E"/>
    <w:rsid w:val="24D53A52"/>
    <w:rsid w:val="27B80FE1"/>
    <w:rsid w:val="27DF7D69"/>
    <w:rsid w:val="29126CBA"/>
    <w:rsid w:val="2AFA0ADD"/>
    <w:rsid w:val="2B012B11"/>
    <w:rsid w:val="2BD72738"/>
    <w:rsid w:val="2BEF70FF"/>
    <w:rsid w:val="2CA564AF"/>
    <w:rsid w:val="2D0F4887"/>
    <w:rsid w:val="2F3F62A9"/>
    <w:rsid w:val="2F6D33B4"/>
    <w:rsid w:val="2F6D549E"/>
    <w:rsid w:val="2F8A00A9"/>
    <w:rsid w:val="2FFAF4BD"/>
    <w:rsid w:val="302238D7"/>
    <w:rsid w:val="3131189E"/>
    <w:rsid w:val="333F89FE"/>
    <w:rsid w:val="33F05C46"/>
    <w:rsid w:val="3516572E"/>
    <w:rsid w:val="36D44648"/>
    <w:rsid w:val="36D844B7"/>
    <w:rsid w:val="3773097F"/>
    <w:rsid w:val="38841AA6"/>
    <w:rsid w:val="38C16D07"/>
    <w:rsid w:val="3A3A4C55"/>
    <w:rsid w:val="3A3B4BC0"/>
    <w:rsid w:val="3B907FAC"/>
    <w:rsid w:val="3BB001BA"/>
    <w:rsid w:val="3C8D03C4"/>
    <w:rsid w:val="3D1A1A37"/>
    <w:rsid w:val="3D735357"/>
    <w:rsid w:val="3DF457C8"/>
    <w:rsid w:val="3E10256E"/>
    <w:rsid w:val="3E806709"/>
    <w:rsid w:val="3E885ADA"/>
    <w:rsid w:val="3EA43043"/>
    <w:rsid w:val="3EEC1961"/>
    <w:rsid w:val="400412C8"/>
    <w:rsid w:val="40BD398D"/>
    <w:rsid w:val="43353E94"/>
    <w:rsid w:val="43CE6D36"/>
    <w:rsid w:val="4487251A"/>
    <w:rsid w:val="46C15638"/>
    <w:rsid w:val="46F75572"/>
    <w:rsid w:val="46F76EED"/>
    <w:rsid w:val="47A80205"/>
    <w:rsid w:val="48067CA0"/>
    <w:rsid w:val="49DF745D"/>
    <w:rsid w:val="4A2E35DE"/>
    <w:rsid w:val="4A6C346A"/>
    <w:rsid w:val="4A927FF3"/>
    <w:rsid w:val="4B1E0613"/>
    <w:rsid w:val="4BAC4502"/>
    <w:rsid w:val="4C5555CB"/>
    <w:rsid w:val="4CA56172"/>
    <w:rsid w:val="4D436C7C"/>
    <w:rsid w:val="4D821D0F"/>
    <w:rsid w:val="4DAE54D0"/>
    <w:rsid w:val="4DD92EE6"/>
    <w:rsid w:val="4E8531AC"/>
    <w:rsid w:val="4EABE6E7"/>
    <w:rsid w:val="4EFB2467"/>
    <w:rsid w:val="4FA70890"/>
    <w:rsid w:val="4FB78E36"/>
    <w:rsid w:val="4FC33F9B"/>
    <w:rsid w:val="500C1E14"/>
    <w:rsid w:val="504A1023"/>
    <w:rsid w:val="50523BD2"/>
    <w:rsid w:val="509044B2"/>
    <w:rsid w:val="50F17F21"/>
    <w:rsid w:val="514419FC"/>
    <w:rsid w:val="5180642A"/>
    <w:rsid w:val="51A458E7"/>
    <w:rsid w:val="52230A3B"/>
    <w:rsid w:val="5276620B"/>
    <w:rsid w:val="534F694E"/>
    <w:rsid w:val="53F754E9"/>
    <w:rsid w:val="54410ACD"/>
    <w:rsid w:val="54CE6F57"/>
    <w:rsid w:val="5539296B"/>
    <w:rsid w:val="55397FB0"/>
    <w:rsid w:val="562F434A"/>
    <w:rsid w:val="5689400A"/>
    <w:rsid w:val="56BB21AD"/>
    <w:rsid w:val="570819BE"/>
    <w:rsid w:val="573C44E7"/>
    <w:rsid w:val="580B4A92"/>
    <w:rsid w:val="58336AC7"/>
    <w:rsid w:val="588E796F"/>
    <w:rsid w:val="58D15745"/>
    <w:rsid w:val="59207FA5"/>
    <w:rsid w:val="59987FE3"/>
    <w:rsid w:val="5A85259D"/>
    <w:rsid w:val="5B4255FA"/>
    <w:rsid w:val="5B9449D9"/>
    <w:rsid w:val="5B97BB35"/>
    <w:rsid w:val="5BC63956"/>
    <w:rsid w:val="5BDB731D"/>
    <w:rsid w:val="5C1B34B7"/>
    <w:rsid w:val="5CAD071D"/>
    <w:rsid w:val="5CD72159"/>
    <w:rsid w:val="5D7535AF"/>
    <w:rsid w:val="5DBEFBA9"/>
    <w:rsid w:val="5DE40E8C"/>
    <w:rsid w:val="5DFB5993"/>
    <w:rsid w:val="5E30ED5D"/>
    <w:rsid w:val="5E416472"/>
    <w:rsid w:val="5E7F5151"/>
    <w:rsid w:val="5EC90E5A"/>
    <w:rsid w:val="5FBFB2FC"/>
    <w:rsid w:val="5FCB723D"/>
    <w:rsid w:val="5FD728D7"/>
    <w:rsid w:val="5FEF4D16"/>
    <w:rsid w:val="5FF7D0E2"/>
    <w:rsid w:val="604C2304"/>
    <w:rsid w:val="61A44F76"/>
    <w:rsid w:val="61CC0E83"/>
    <w:rsid w:val="623F015C"/>
    <w:rsid w:val="627035B2"/>
    <w:rsid w:val="62BB3121"/>
    <w:rsid w:val="64241CF8"/>
    <w:rsid w:val="64681D14"/>
    <w:rsid w:val="6471000D"/>
    <w:rsid w:val="649D1C5B"/>
    <w:rsid w:val="6580488B"/>
    <w:rsid w:val="65B118C6"/>
    <w:rsid w:val="65DF02B5"/>
    <w:rsid w:val="6670D8FD"/>
    <w:rsid w:val="67947479"/>
    <w:rsid w:val="67C557A1"/>
    <w:rsid w:val="67EE73B2"/>
    <w:rsid w:val="69370B5F"/>
    <w:rsid w:val="6A34274E"/>
    <w:rsid w:val="6A6B07C6"/>
    <w:rsid w:val="6A8B187D"/>
    <w:rsid w:val="6ACD300C"/>
    <w:rsid w:val="6D71359A"/>
    <w:rsid w:val="6D787713"/>
    <w:rsid w:val="6D794D39"/>
    <w:rsid w:val="6E2C5AF6"/>
    <w:rsid w:val="6EC27616"/>
    <w:rsid w:val="6F206B85"/>
    <w:rsid w:val="710A244C"/>
    <w:rsid w:val="71A01D76"/>
    <w:rsid w:val="71D911A5"/>
    <w:rsid w:val="71F92F44"/>
    <w:rsid w:val="72667DF2"/>
    <w:rsid w:val="73DA3B68"/>
    <w:rsid w:val="747F6745"/>
    <w:rsid w:val="74FB7A30"/>
    <w:rsid w:val="7533172E"/>
    <w:rsid w:val="75963B12"/>
    <w:rsid w:val="75A02E92"/>
    <w:rsid w:val="75AE99E0"/>
    <w:rsid w:val="760F5C88"/>
    <w:rsid w:val="76885C6D"/>
    <w:rsid w:val="76AB0E5A"/>
    <w:rsid w:val="76E33906"/>
    <w:rsid w:val="76FF829F"/>
    <w:rsid w:val="777F9EA6"/>
    <w:rsid w:val="78181355"/>
    <w:rsid w:val="78EF6AC0"/>
    <w:rsid w:val="79780B57"/>
    <w:rsid w:val="79D14A52"/>
    <w:rsid w:val="79EA1BC5"/>
    <w:rsid w:val="7A201715"/>
    <w:rsid w:val="7A72008E"/>
    <w:rsid w:val="7AAE6C6E"/>
    <w:rsid w:val="7AF10802"/>
    <w:rsid w:val="7B246717"/>
    <w:rsid w:val="7B3F59D5"/>
    <w:rsid w:val="7B5FD966"/>
    <w:rsid w:val="7B7FBF4C"/>
    <w:rsid w:val="7BB64E9F"/>
    <w:rsid w:val="7BBDAE8A"/>
    <w:rsid w:val="7BE53A44"/>
    <w:rsid w:val="7CB430F5"/>
    <w:rsid w:val="7CE82AF1"/>
    <w:rsid w:val="7DA53DF1"/>
    <w:rsid w:val="7DAE66E6"/>
    <w:rsid w:val="7EFD5FDD"/>
    <w:rsid w:val="7F3F9168"/>
    <w:rsid w:val="7F479891"/>
    <w:rsid w:val="7F7B377D"/>
    <w:rsid w:val="7F7E78DE"/>
    <w:rsid w:val="7FBF0239"/>
    <w:rsid w:val="7FBF8508"/>
    <w:rsid w:val="7FC9987A"/>
    <w:rsid w:val="7FE6DA2D"/>
    <w:rsid w:val="7FF84A87"/>
    <w:rsid w:val="7FFC2393"/>
    <w:rsid w:val="859C268D"/>
    <w:rsid w:val="8EF6261C"/>
    <w:rsid w:val="95FFA5C9"/>
    <w:rsid w:val="96F9B3DC"/>
    <w:rsid w:val="9E7A9B2C"/>
    <w:rsid w:val="AFFD6E2F"/>
    <w:rsid w:val="B77DD020"/>
    <w:rsid w:val="BC752B43"/>
    <w:rsid w:val="BEB5D9CA"/>
    <w:rsid w:val="BECBE683"/>
    <w:rsid w:val="BFA2F499"/>
    <w:rsid w:val="C7BF2CF3"/>
    <w:rsid w:val="D29FFEB2"/>
    <w:rsid w:val="D8FE1994"/>
    <w:rsid w:val="DAEFFB1C"/>
    <w:rsid w:val="DF3D219E"/>
    <w:rsid w:val="DFCCD80A"/>
    <w:rsid w:val="DFE78126"/>
    <w:rsid w:val="DFEA6384"/>
    <w:rsid w:val="DFFEB55C"/>
    <w:rsid w:val="E6DE0148"/>
    <w:rsid w:val="F19F4CBE"/>
    <w:rsid w:val="F3DFD57B"/>
    <w:rsid w:val="F737DCDA"/>
    <w:rsid w:val="F7EB7FCC"/>
    <w:rsid w:val="F7FDD066"/>
    <w:rsid w:val="F9F6AF82"/>
    <w:rsid w:val="FB7F3F86"/>
    <w:rsid w:val="FBBC91F4"/>
    <w:rsid w:val="FBDFB30B"/>
    <w:rsid w:val="FBFDD9DD"/>
    <w:rsid w:val="FF0DD888"/>
    <w:rsid w:val="FFBF5685"/>
    <w:rsid w:val="FFBF5BC4"/>
    <w:rsid w:val="FFDFE069"/>
    <w:rsid w:val="FFECBFCB"/>
    <w:rsid w:val="FFEF0A89"/>
    <w:rsid w:val="FFFD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12"/>
    <w:qFormat/>
    <w:uiPriority w:val="0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6">
    <w:name w:val="Body text|1"/>
    <w:basedOn w:val="1"/>
    <w:qFormat/>
    <w:uiPriority w:val="0"/>
    <w:pPr>
      <w:spacing w:line="394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7">
    <w:name w:val="Other|1"/>
    <w:basedOn w:val="1"/>
    <w:qFormat/>
    <w:uiPriority w:val="0"/>
    <w:pPr>
      <w:spacing w:line="359" w:lineRule="exact"/>
    </w:pPr>
    <w:rPr>
      <w:rFonts w:ascii="宋体" w:hAnsi="宋体" w:eastAsia="宋体" w:cs="宋体"/>
      <w:sz w:val="22"/>
      <w:lang w:val="zh-TW" w:eastAsia="zh-TW" w:bidi="zh-TW"/>
    </w:rPr>
  </w:style>
  <w:style w:type="character" w:customStyle="1" w:styleId="8">
    <w:name w:val="15"/>
    <w:basedOn w:val="5"/>
    <w:qFormat/>
    <w:uiPriority w:val="0"/>
    <w:rPr>
      <w:rFonts w:hint="default" w:ascii="Times New Roman" w:hAnsi="Times New Roman" w:cs="Times New Roman"/>
      <w:b/>
      <w:bCs/>
    </w:rPr>
  </w:style>
  <w:style w:type="character" w:customStyle="1" w:styleId="9">
    <w:name w:val="10"/>
    <w:basedOn w:val="5"/>
    <w:qFormat/>
    <w:uiPriority w:val="0"/>
    <w:rPr>
      <w:rFonts w:hint="default" w:ascii="Times New Roman" w:hAnsi="Times New Roman" w:cs="Times New Roman"/>
    </w:rPr>
  </w:style>
  <w:style w:type="paragraph" w:customStyle="1" w:styleId="10">
    <w:name w:val="修订1"/>
    <w:hidden/>
    <w:unhideWhenUsed/>
    <w:qFormat/>
    <w:uiPriority w:val="99"/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页眉 字符"/>
    <w:basedOn w:val="5"/>
    <w:link w:val="3"/>
    <w:uiPriority w:val="0"/>
    <w:rPr>
      <w:rFonts w:ascii="Arial" w:hAnsi="Arial" w:eastAsia="Arial" w:cs="Arial"/>
      <w:snapToGrid w:val="0"/>
      <w:color w:val="000000"/>
      <w:sz w:val="18"/>
      <w:szCs w:val="18"/>
      <w:lang w:eastAsia="en-US"/>
    </w:rPr>
  </w:style>
  <w:style w:type="character" w:customStyle="1" w:styleId="13">
    <w:name w:val="页脚 字符"/>
    <w:basedOn w:val="5"/>
    <w:link w:val="2"/>
    <w:uiPriority w:val="0"/>
    <w:rPr>
      <w:rFonts w:ascii="Arial" w:hAnsi="Arial" w:eastAsia="Arial" w:cs="Arial"/>
      <w:snapToGrid w:val="0"/>
      <w:color w:val="00000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199</Words>
  <Characters>1137</Characters>
  <Lines>9</Lines>
  <Paragraphs>2</Paragraphs>
  <TotalTime>6</TotalTime>
  <ScaleCrop>false</ScaleCrop>
  <LinksUpToDate>false</LinksUpToDate>
  <CharactersWithSpaces>1334</CharactersWithSpaces>
  <Application>WPS Office WWO_wpscloud_20221226105305-1d712461b5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2023-11-28T17:00:00Z</dcterms:created>
  <dc:creator>Administrator</dc:creator>
  <cp:lastModifiedBy>郭鸿雁</cp:lastModifiedBy>
  <dcterms:modified xsi:type="dcterms:W3CDTF">2023-12-05T11:22:11Z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BE329AF3F7B146409849F7B5F2E5C07F_12</vt:lpwstr>
  </property>
</Properties>
</file>