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jc w:val="center"/>
      </w:pPr>
      <w:r>
        <w:rPr>
          <w:rFonts w:ascii="Arial"/>
          <w:b/>
          <w:sz w:val="40"/>
        </w:rPr>
        <w:instrText xml:space="preserve">2016年07月运输企业超速十分严重的车辆（130~135km h）明细表</w:instrText>
      </w:r>
    </w:p>
    <w:tbl>
      <w:tblPr>
        <w:tblW w:w="15000" w:type="dxa"/>
        <w:jc w:val="center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  <w:gridCol w:w="300"/>
        <w:gridCol w:w="300"/>
        <w:gridCol w:w="300"/>
      </w:tblGrid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地市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企业名称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车牌号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车牌颜色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车辆种类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超速报警次数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广州禧臻运输有限公司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粤AK2673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3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深圳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深圳市深特工业气体有限公司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粤BM6062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2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汕头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汕头市南翔客运有限公司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粤D13027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2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佛山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佛山市高明区汽车运输有限公司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粤EX2838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湛江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广东省湛江汽车运输集团有限公司五0七车队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粤GU5391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汕尾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陆丰市高盛汽车运输有限公司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粤N01872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汕尾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陆丰市汽车运输总公司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粤N03867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汕尾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海丰县交通客车运输总公司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粤N04971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东莞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东莞市鸿顺运输有限公司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粤SC4708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潮州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广东远泰新能源有限公司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粤U03147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潮州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潮州市宏诚石油化工有限公司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粤U03394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潮州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饶平县金顺汽车运输有限公司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粤UX0797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云浮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郁南县交通运输有限公司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粤W03389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广州溢丰客货运输服务有限公司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粤AV6563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广东省广阳高速客运有限公司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粤A97915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广州市第二公共汽车公司番禺分公司        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粤AE4169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广州广钢气体有限公司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粤AH1049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广东运通客运有限公司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粤AH1172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广州南方高速客运有限公司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粤AH9597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黄色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客运班车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</w:instrText>
            </w:r>
          </w:p>
        </w:tc>
      </w:tr>
      <w:tr>
        <w:tc>
          <w:tcPr>
            <w:gridSpan w:val="2"/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合计</w:instrText>
            </w:r>
          </w:p>
        </w:tc>
        <w:tc>
          <w:tcPr>
            <w:gridSpan w:val="1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</w:r>
          </w:p>
        </w:tc>
        <w:tc>
          <w:tcPr>
            <w:gridSpan w:val="2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19</w:instrText>
            </w:r>
          </w:p>
        </w:tc>
        <w:tc>
          <w:tcPr>
            <w:gridSpan w:val="1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23</w:instrText>
            </w:r>
          </w:p>
        </w:tc>
      </w:tr>
    </w:tbl>
    <w:sectPr>
      <w:pgSz w:w="20000" w:h="16838"/>
      <w:pgMar w:top="1440" w:right="1800" w:bottom="1440" w:left="1800" w:header="851" w:footer="992"/>
      <w:cols w:space="425"/>
      <w:docGrid w:type="lines" w:linePitch="312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2016-08-01T16:02:23Z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2.1.3</vt:lpwstr>
  </q1:property>
</q1:Properties>
</file>