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tabs>
          <w:tab w:val="center" w:pos="4153"/>
        </w:tabs>
        <w:jc w:val="center"/>
        <w:rPr>
          <w:rFonts w:hint="eastAsia" w:ascii="仿宋_GB2312" w:hAnsi="宋体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sz w:val="32"/>
          <w:szCs w:val="32"/>
        </w:rPr>
        <w:t>广东省省内道路旅客运输线路节点表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10207" w:type="dxa"/>
        <w:tblInd w:w="-8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5"/>
        <w:gridCol w:w="1276"/>
        <w:gridCol w:w="992"/>
        <w:gridCol w:w="992"/>
        <w:gridCol w:w="992"/>
        <w:gridCol w:w="993"/>
        <w:gridCol w:w="992"/>
        <w:gridCol w:w="992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节点城市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0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广州市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广州（含番禺、花都、从化、增城、南沙）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深圳市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深圳（含宝安、龙岗）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珠海市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珠海（含斗门）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汕头市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汕头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澄海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潮阳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潮南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南澳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0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佛山市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佛山（含禅城、顺德、三水、高明、南海）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韶关市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韶关（含曲江）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乐昌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仁化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南雄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始兴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翁源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新丰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乳源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湛江市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湛江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雷州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廉江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吴川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徐闻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遂溪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肇庆市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肇庆（含高要）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四会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广宁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德庆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封开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怀集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江门市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江门（含新会）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台山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开平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恩平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鹤山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茂名市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茂名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高州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信宜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电白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化州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惠州市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惠州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惠阳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惠东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博罗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龙门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大亚湾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梅州市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梅州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梅县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蕉岭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大埔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丰顺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五华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兴宁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平远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汕尾市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汕尾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海丰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陆河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陆丰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河源市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河源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东源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和平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龙川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紫金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连平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阳江市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阳江（含阳东）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阳春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阳西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清远市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清远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清新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英德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连州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佛冈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连山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连南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阳山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东莞市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东莞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中山市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中山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潮州市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潮州（含潮安）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饶平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揭阳市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揭阳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揭东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普宁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惠来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揭西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云浮市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云浮（含云安）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罗定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新兴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郁南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7" w:h="16840"/>
      <w:pgMar w:top="2098" w:right="1588" w:bottom="2098" w:left="1588" w:header="720" w:footer="1418" w:gutter="0"/>
      <w:cols w:space="720" w:num="1"/>
      <w:docGrid w:type="linesAndChars" w:linePitch="574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</w:rPr>
    </w:pPr>
    <w:r>
      <w:rPr>
        <w:rStyle w:val="5"/>
        <w:rFonts w:hint="eastAsia"/>
      </w:rPr>
      <w:t>—</w:t>
    </w: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  <w:r>
      <w:rPr>
        <w:rStyle w:val="5"/>
        <w:rFonts w:hint="eastAsia"/>
      </w:rPr>
      <w:t>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4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before="240" w:line="380" w:lineRule="atLeast"/>
      <w:jc w:val="center"/>
    </w:pPr>
    <w:rPr>
      <w:rFonts w:eastAsia="仿宋_GB2312"/>
      <w:spacing w:val="34"/>
      <w:kern w:val="0"/>
      <w:sz w:val="32"/>
      <w:szCs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dlne</dc:creator>
  <cp:lastModifiedBy>饶有颂</cp:lastModifiedBy>
  <dcterms:modified xsi:type="dcterms:W3CDTF">2020-08-25T07:51:15Z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