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left"/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  <w:t>附件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en-US" w:eastAsia="zh-CN"/>
        </w:rPr>
        <w:t>4:</w:t>
      </w:r>
    </w:p>
    <w:p>
      <w:pPr>
        <w:autoSpaceDE w:val="0"/>
        <w:autoSpaceDN w:val="0"/>
        <w:adjustRightInd w:val="0"/>
        <w:jc w:val="center"/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</w:rPr>
        <w:t>县际包车客运标志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</w:rPr>
        <w:t>牌</w:t>
      </w:r>
    </w:p>
    <w:p>
      <w:pPr>
        <w:spacing w:line="600" w:lineRule="exact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2"/>
          <w:szCs w:val="32"/>
          <w:lang w:val="en-US" w:eastAsia="zh-CN"/>
        </w:rPr>
        <w:t>一、县际包车客运标志牌正面</w:t>
      </w:r>
    </w:p>
    <w:p>
      <w:pPr>
        <w:widowControl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（一）尺寸：</w:t>
      </w: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480mm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×</w:t>
      </w: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220mm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。</w:t>
      </w:r>
    </w:p>
    <w:p>
      <w:pPr>
        <w:widowControl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（二）材质和工艺：底版为银白色铝质材料，正面底贴白色环保反光膜，背面底色为磨砂铝本色。</w:t>
      </w:r>
    </w:p>
    <w:p>
      <w:pPr>
        <w:widowControl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（三）其它规范：</w:t>
      </w:r>
    </w:p>
    <w:p>
      <w:pPr>
        <w:widowControl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第一行字为黑色宋体，字高</w:t>
      </w: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28mm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×字宽</w:t>
      </w: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28 mm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。</w:t>
      </w:r>
    </w:p>
    <w:p>
      <w:pPr>
        <w:widowControl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第二行字为红色黑体，字高</w:t>
      </w: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110 mm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×字宽</w:t>
      </w: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80 mm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，随字数多少而改变。横线为黑色，宽度</w:t>
      </w: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15 mm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，长度随字数多少而改变。横线中间上方套印红色的许可地市级交通运输主管部门行政章。</w:t>
      </w:r>
    </w:p>
    <w:p>
      <w:pPr>
        <w:widowControl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第三行字为黑色宋体，字高</w:t>
      </w: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20 mm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×字宽</w:t>
      </w: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15 mm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，号码为红色阿拉伯数字。第三行为各地级市汉字简称+运包字+各地市英文代码大写字母+5位阿拉伯数+号，数字编码由各地市级交通运输主管部门自行编排。</w:t>
      </w:r>
    </w:p>
    <w:p>
      <w:pPr>
        <w:widowControl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bidi="ar"/>
        </w:rPr>
        <w:t>图例：</w:t>
      </w:r>
    </w:p>
    <w:p>
      <w:pPr>
        <w:widowControl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drawing>
          <wp:inline distT="0" distB="0" distL="0" distR="0">
            <wp:extent cx="5273675" cy="2416810"/>
            <wp:effectExtent l="0" t="0" r="3175" b="254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298" cy="2417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</w:pPr>
    </w:p>
    <w:p>
      <w:pPr>
        <w:spacing w:line="600" w:lineRule="exact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2"/>
          <w:szCs w:val="32"/>
          <w:lang w:val="en-US" w:eastAsia="zh-CN"/>
        </w:rPr>
        <w:t>二、县际包车客运标志牌背面</w:t>
      </w:r>
    </w:p>
    <w:p>
      <w:pPr>
        <w:spacing w:line="240" w:lineRule="exact"/>
        <w:rPr>
          <w:rFonts w:ascii="宋体" w:hAnsi="宋体"/>
          <w:b/>
          <w:color w:val="000000"/>
          <w:sz w:val="44"/>
        </w:rPr>
      </w:pPr>
    </w:p>
    <w:p>
      <w:pPr>
        <w:widowControl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左侧粘贴《道路包车经营许可信息表》。</w:t>
      </w:r>
    </w:p>
    <w:p>
      <w:pPr>
        <w:widowControl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右侧在磨砂铝底板上直接印制“遵章守法”和“安全优质”，分两行排列，黑色宋体加粗，在大型客车使用的包车客运标志牌上字高</w:t>
      </w: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20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 xml:space="preserve"> mm×字宽</w:t>
      </w: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20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mm</w:t>
      </w:r>
    </w:p>
    <w:p>
      <w:pPr>
        <w:widowControl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bidi="ar"/>
        </w:rPr>
        <w:t>图例</w:t>
      </w:r>
      <w:r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bidi="ar"/>
        </w:rPr>
        <w:t>：</w:t>
      </w:r>
    </w:p>
    <w:p>
      <w:r>
        <w:rPr>
          <w:rFonts w:hint="eastAsia"/>
        </w:rPr>
        <w:drawing>
          <wp:inline distT="0" distB="0" distL="0" distR="0">
            <wp:extent cx="5273675" cy="2417445"/>
            <wp:effectExtent l="0" t="0" r="3175" b="190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298" cy="2417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spacing w:line="600" w:lineRule="exact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2"/>
          <w:szCs w:val="32"/>
          <w:lang w:val="en-US" w:eastAsia="zh-CN"/>
        </w:rPr>
        <w:t>三、道路包车客运经营许可信息表</w:t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（一）尺寸：</w:t>
      </w:r>
      <w:r>
        <w:rPr>
          <w:rFonts w:ascii="仿宋_GB2312" w:eastAsia="仿宋_GB2312"/>
          <w:sz w:val="32"/>
          <w:szCs w:val="32"/>
        </w:rPr>
        <w:t>291</w:t>
      </w:r>
      <w:r>
        <w:rPr>
          <w:rFonts w:hint="eastAsia" w:ascii="仿宋_GB2312" w:eastAsia="仿宋_GB2312"/>
          <w:sz w:val="32"/>
          <w:szCs w:val="32"/>
        </w:rPr>
        <w:t>mm×</w:t>
      </w:r>
      <w:r>
        <w:rPr>
          <w:rFonts w:ascii="仿宋_GB2312" w:eastAsia="仿宋_GB2312"/>
          <w:sz w:val="32"/>
          <w:szCs w:val="32"/>
        </w:rPr>
        <w:t>161</w:t>
      </w:r>
      <w:r>
        <w:rPr>
          <w:rFonts w:hint="eastAsia" w:ascii="仿宋_GB2312" w:eastAsia="仿宋_GB2312"/>
          <w:sz w:val="32"/>
          <w:szCs w:val="32"/>
        </w:rPr>
        <w:t>mm。</w:t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（二）底色：白色。</w:t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（三）其他规范：</w:t>
      </w:r>
    </w:p>
    <w:p>
      <w:pPr>
        <w:spacing w:line="520" w:lineRule="exact"/>
        <w:ind w:firstLine="9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1.第一行标题字为黑色宋体加粗，字体</w:t>
      </w:r>
      <w:r>
        <w:rPr>
          <w:rFonts w:ascii="仿宋_GB2312" w:eastAsia="仿宋_GB2312"/>
          <w:sz w:val="32"/>
          <w:szCs w:val="32"/>
        </w:rPr>
        <w:t>大小为22</w:t>
      </w:r>
      <w:r>
        <w:rPr>
          <w:rFonts w:hint="eastAsia" w:ascii="仿宋_GB2312" w:eastAsia="仿宋_GB2312"/>
          <w:sz w:val="32"/>
          <w:szCs w:val="32"/>
        </w:rPr>
        <w:t>磅。</w:t>
      </w:r>
    </w:p>
    <w:p>
      <w:pPr>
        <w:spacing w:line="520" w:lineRule="exact"/>
        <w:ind w:firstLine="9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>
        <w:rPr>
          <w:rFonts w:hint="eastAsia" w:ascii="仿宋_GB2312" w:eastAsia="仿宋_GB2312"/>
          <w:sz w:val="32"/>
          <w:szCs w:val="32"/>
        </w:rPr>
        <w:t>左边表格字体</w:t>
      </w:r>
      <w:r>
        <w:rPr>
          <w:rFonts w:ascii="仿宋_GB2312" w:eastAsia="仿宋_GB2312"/>
          <w:sz w:val="32"/>
          <w:szCs w:val="32"/>
        </w:rPr>
        <w:t>为</w:t>
      </w:r>
      <w:r>
        <w:rPr>
          <w:rFonts w:hint="eastAsia" w:ascii="仿宋_GB2312" w:eastAsia="仿宋_GB2312"/>
          <w:sz w:val="32"/>
          <w:szCs w:val="32"/>
        </w:rPr>
        <w:t>宋体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字体</w:t>
      </w:r>
      <w:r>
        <w:rPr>
          <w:rFonts w:ascii="仿宋_GB2312" w:eastAsia="仿宋_GB2312"/>
          <w:sz w:val="32"/>
          <w:szCs w:val="32"/>
        </w:rPr>
        <w:t>大小为12</w:t>
      </w:r>
      <w:r>
        <w:rPr>
          <w:rFonts w:hint="eastAsia" w:ascii="仿宋_GB2312" w:eastAsia="仿宋_GB2312"/>
          <w:sz w:val="32"/>
          <w:szCs w:val="32"/>
        </w:rPr>
        <w:t>磅。右边表格字体</w:t>
      </w:r>
      <w:r>
        <w:rPr>
          <w:rFonts w:ascii="仿宋_GB2312" w:eastAsia="仿宋_GB2312"/>
          <w:sz w:val="32"/>
          <w:szCs w:val="32"/>
        </w:rPr>
        <w:t>为</w:t>
      </w:r>
      <w:r>
        <w:rPr>
          <w:rFonts w:hint="eastAsia" w:ascii="仿宋_GB2312" w:eastAsia="仿宋_GB2312"/>
          <w:sz w:val="32"/>
          <w:szCs w:val="32"/>
        </w:rPr>
        <w:t>宋体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字体</w:t>
      </w:r>
      <w:r>
        <w:rPr>
          <w:rFonts w:ascii="仿宋_GB2312" w:eastAsia="仿宋_GB2312"/>
          <w:sz w:val="32"/>
          <w:szCs w:val="32"/>
        </w:rPr>
        <w:t>大小为14</w:t>
      </w:r>
      <w:r>
        <w:rPr>
          <w:rFonts w:hint="eastAsia" w:ascii="仿宋_GB2312" w:eastAsia="仿宋_GB2312"/>
          <w:sz w:val="32"/>
          <w:szCs w:val="32"/>
        </w:rPr>
        <w:t>磅。盖章栏</w:t>
      </w:r>
      <w:r>
        <w:rPr>
          <w:rFonts w:ascii="仿宋_GB2312" w:eastAsia="仿宋_GB2312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</w:rPr>
        <w:t>套印红色的“市级交通主管部门行政章”。</w:t>
      </w:r>
    </w:p>
    <w:p>
      <w:pPr>
        <w:spacing w:line="520" w:lineRule="exact"/>
        <w:ind w:firstLine="9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3.号码为红色阿拉伯数字（一般默认从</w:t>
      </w:r>
      <w:r>
        <w:rPr>
          <w:rFonts w:ascii="仿宋_GB2312" w:eastAsia="仿宋_GB2312"/>
          <w:sz w:val="32"/>
          <w:szCs w:val="32"/>
        </w:rPr>
        <w:t>A</w:t>
      </w:r>
      <w:r>
        <w:rPr>
          <w:rFonts w:hint="eastAsia" w:ascii="仿宋_GB2312" w:eastAsia="仿宋_GB2312"/>
          <w:sz w:val="32"/>
          <w:szCs w:val="32"/>
        </w:rPr>
        <w:t>0000001开始编号）。</w:t>
      </w:r>
    </w:p>
    <w:p>
      <w:pPr>
        <w:widowControl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bidi="ar"/>
        </w:rPr>
        <w:t>图例</w:t>
      </w:r>
      <w:r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bidi="ar"/>
        </w:rPr>
        <w:t>：</w:t>
      </w:r>
    </w:p>
    <w:p>
      <w:pPr>
        <w:widowControl/>
        <w:jc w:val="left"/>
        <w:rPr>
          <w:rFonts w:ascii="仿宋_GB2312" w:hAnsi="Times New Roman" w:eastAsia="仿宋_GB2312"/>
          <w:b/>
          <w:sz w:val="32"/>
          <w:szCs w:val="32"/>
        </w:rPr>
      </w:pPr>
      <w:r>
        <w:rPr>
          <w:rFonts w:ascii="仿宋_GB2312" w:hAnsi="Times New Roman" w:eastAsia="仿宋_GB2312"/>
          <w:b/>
          <w:sz w:val="32"/>
          <w:szCs w:val="32"/>
        </w:rPr>
        <w:drawing>
          <wp:inline distT="0" distB="0" distL="114300" distR="114300">
            <wp:extent cx="5920740" cy="3277235"/>
            <wp:effectExtent l="0" t="0" r="381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1250" cy="327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="仿宋_GB2312" w:hAnsi="Times New Roman" w:eastAsia="仿宋_GB2312"/>
          <w:b/>
          <w:sz w:val="32"/>
          <w:szCs w:val="32"/>
        </w:rPr>
      </w:pPr>
    </w:p>
    <w:p/>
    <w:p/>
    <w:p>
      <w:pPr>
        <w:widowControl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CA6"/>
    <w:rsid w:val="0001603D"/>
    <w:rsid w:val="001C467F"/>
    <w:rsid w:val="004F2C00"/>
    <w:rsid w:val="00525CA6"/>
    <w:rsid w:val="00672877"/>
    <w:rsid w:val="008B01E5"/>
    <w:rsid w:val="00995FA6"/>
    <w:rsid w:val="00B204BF"/>
    <w:rsid w:val="00B927F3"/>
    <w:rsid w:val="00C455DE"/>
    <w:rsid w:val="00CA5B82"/>
    <w:rsid w:val="00E27189"/>
    <w:rsid w:val="00E83768"/>
    <w:rsid w:val="00E97592"/>
    <w:rsid w:val="00ED2ECC"/>
    <w:rsid w:val="00F72272"/>
    <w:rsid w:val="00FD11D8"/>
    <w:rsid w:val="0352145F"/>
    <w:rsid w:val="0BB9075F"/>
    <w:rsid w:val="204E2B01"/>
    <w:rsid w:val="51F10B29"/>
    <w:rsid w:val="6C0848B5"/>
    <w:rsid w:val="6D74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3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94</Words>
  <Characters>536</Characters>
  <Lines>4</Lines>
  <Paragraphs>1</Paragraphs>
  <TotalTime>1</TotalTime>
  <ScaleCrop>false</ScaleCrop>
  <LinksUpToDate>false</LinksUpToDate>
  <CharactersWithSpaces>629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2020-08-27T02:02:00Z</dcterms:created>
  <dc:creator>dlne</dc:creator>
  <cp:lastModifiedBy>鄢可非</cp:lastModifiedBy>
  <dcterms:modified xsi:type="dcterms:W3CDTF">2020-08-27T06:47:35Z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