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firstLineChars="0"/>
        <w:rPr>
          <w:rFonts w:ascii="仿宋_GB2312" w:hAnsi="仿宋_GB2312" w:eastAsia="仿宋_GB2312" w:cs="仿宋_GB2312"/>
          <w:sz w:val="44"/>
          <w:szCs w:val="44"/>
        </w:rPr>
      </w:pPr>
    </w:p>
    <w:p>
      <w:pPr>
        <w:pStyle w:val="24"/>
        <w:ind w:firstLine="0" w:firstLineChars="0"/>
        <w:rPr>
          <w:rFonts w:ascii="仿宋_GB2312" w:hAnsi="仿宋_GB2312" w:eastAsia="仿宋_GB2312" w:cs="仿宋_GB2312"/>
          <w:sz w:val="44"/>
          <w:szCs w:val="44"/>
        </w:rPr>
      </w:pPr>
    </w:p>
    <w:p>
      <w:pPr>
        <w:pStyle w:val="24"/>
        <w:ind w:firstLine="0" w:firstLineChars="0"/>
        <w:rPr>
          <w:rFonts w:ascii="仿宋_GB2312" w:hAnsi="仿宋_GB2312" w:eastAsia="仿宋_GB2312" w:cs="仿宋_GB2312"/>
          <w:sz w:val="44"/>
          <w:szCs w:val="44"/>
        </w:rPr>
      </w:pPr>
    </w:p>
    <w:p>
      <w:pPr>
        <w:pStyle w:val="24"/>
        <w:ind w:firstLine="0" w:firstLineChars="0"/>
        <w:rPr>
          <w:rFonts w:ascii="仿宋_GB2312" w:hAnsi="仿宋_GB2312" w:eastAsia="仿宋_GB2312" w:cs="仿宋_GB2312"/>
          <w:b w:val="0"/>
          <w:bCs w:val="0"/>
          <w:sz w:val="72"/>
          <w:szCs w:val="72"/>
        </w:rPr>
      </w:pPr>
      <w:r>
        <w:rPr>
          <w:rFonts w:hint="eastAsia" w:ascii="仿宋_GB2312" w:hAnsi="仿宋_GB2312" w:eastAsia="仿宋_GB2312" w:cs="仿宋_GB2312"/>
          <w:b w:val="0"/>
          <w:bCs w:val="0"/>
          <w:sz w:val="72"/>
          <w:szCs w:val="72"/>
        </w:rPr>
        <w:t>广东省高速公路服务区</w:t>
      </w:r>
    </w:p>
    <w:p>
      <w:pPr>
        <w:pStyle w:val="24"/>
        <w:ind w:firstLine="0" w:firstLineChars="0"/>
        <w:rPr>
          <w:rFonts w:ascii="仿宋_GB2312" w:hAnsi="仿宋_GB2312" w:eastAsia="仿宋_GB2312" w:cs="仿宋_GB2312"/>
          <w:b w:val="0"/>
          <w:bCs w:val="0"/>
          <w:sz w:val="72"/>
          <w:szCs w:val="72"/>
        </w:rPr>
      </w:pPr>
      <w:r>
        <w:rPr>
          <w:rFonts w:hint="eastAsia" w:ascii="仿宋_GB2312" w:hAnsi="仿宋_GB2312" w:eastAsia="仿宋_GB2312" w:cs="仿宋_GB2312"/>
          <w:b w:val="0"/>
          <w:bCs w:val="0"/>
          <w:sz w:val="72"/>
          <w:szCs w:val="72"/>
        </w:rPr>
        <w:t>布局规划</w:t>
      </w:r>
    </w:p>
    <w:p>
      <w:pPr>
        <w:spacing w:line="240" w:lineRule="auto"/>
        <w:ind w:firstLine="0" w:firstLineChars="0"/>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（2020-2035年）</w:t>
      </w: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r>
        <w:rPr>
          <w:rFonts w:hint="eastAsia" w:ascii="仿宋_GB2312" w:hAnsi="仿宋_GB2312" w:eastAsia="仿宋_GB2312" w:cs="仿宋_GB2312"/>
          <w:b/>
          <w:sz w:val="36"/>
        </w:rPr>
        <w:t xml:space="preserve"> </w:t>
      </w: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p>
    <w:p>
      <w:pPr>
        <w:spacing w:line="240" w:lineRule="auto"/>
        <w:ind w:firstLine="0" w:firstLineChars="0"/>
        <w:jc w:val="center"/>
        <w:rPr>
          <w:rFonts w:ascii="仿宋_GB2312" w:hAnsi="仿宋_GB2312" w:eastAsia="仿宋_GB2312" w:cs="仿宋_GB2312"/>
          <w:b/>
        </w:rPr>
      </w:pPr>
    </w:p>
    <w:p>
      <w:pPr>
        <w:ind w:firstLine="0" w:firstLineChars="0"/>
        <w:jc w:val="center"/>
        <w:rPr>
          <w:rFonts w:ascii="仿宋_GB2312" w:hAnsi="仿宋_GB2312" w:eastAsia="仿宋_GB2312" w:cs="仿宋_GB2312"/>
          <w:b/>
          <w:sz w:val="36"/>
        </w:rPr>
      </w:pPr>
    </w:p>
    <w:p>
      <w:pPr>
        <w:ind w:firstLine="0" w:firstLineChars="0"/>
        <w:jc w:val="center"/>
        <w:rPr>
          <w:rFonts w:ascii="仿宋_GB2312" w:hAnsi="仿宋_GB2312" w:eastAsia="仿宋_GB2312" w:cs="仿宋_GB2312"/>
          <w:b/>
          <w:sz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sz w:val="36"/>
        </w:rPr>
        <w:t>2020年10月</w:t>
      </w:r>
    </w:p>
    <w:sdt>
      <w:sdtPr>
        <w:rPr>
          <w:rFonts w:hint="eastAsia" w:ascii="仿宋_GB2312" w:hAnsi="仿宋_GB2312" w:eastAsia="仿宋_GB2312" w:cs="仿宋_GB2312"/>
          <w:color w:val="auto"/>
          <w:kern w:val="2"/>
          <w:sz w:val="28"/>
          <w:szCs w:val="22"/>
          <w:lang w:val="zh-CN"/>
        </w:rPr>
        <w:id w:val="2002311240"/>
      </w:sdtPr>
      <w:sdtEndPr>
        <w:rPr>
          <w:rFonts w:hint="eastAsia" w:ascii="仿宋_GB2312" w:hAnsi="仿宋_GB2312" w:eastAsia="仿宋_GB2312" w:cs="仿宋_GB2312"/>
          <w:b/>
          <w:bCs/>
          <w:color w:val="auto"/>
          <w:kern w:val="2"/>
          <w:sz w:val="32"/>
          <w:szCs w:val="22"/>
          <w:lang w:val="zh-CN"/>
        </w:rPr>
      </w:sdtEndPr>
      <w:sdtContent>
        <w:p>
          <w:pPr>
            <w:pStyle w:val="50"/>
            <w:spacing w:before="120" w:after="156" w:afterLines="50" w:line="240" w:lineRule="auto"/>
            <w:jc w:val="center"/>
            <w:rPr>
              <w:rFonts w:ascii="仿宋_GB2312" w:hAnsi="仿宋_GB2312" w:eastAsia="仿宋_GB2312" w:cs="仿宋_GB2312"/>
              <w:b/>
              <w:color w:val="auto"/>
              <w:sz w:val="36"/>
            </w:rPr>
          </w:pPr>
          <w:r>
            <w:rPr>
              <w:rFonts w:hint="eastAsia" w:ascii="仿宋_GB2312" w:hAnsi="仿宋_GB2312" w:eastAsia="仿宋_GB2312" w:cs="仿宋_GB2312"/>
              <w:b/>
              <w:color w:val="auto"/>
              <w:sz w:val="36"/>
              <w:lang w:val="zh-CN"/>
            </w:rPr>
            <w:t>目 录</w:t>
          </w:r>
        </w:p>
        <w:p>
          <w:pPr>
            <w:pStyle w:val="20"/>
            <w:tabs>
              <w:tab w:val="right" w:leader="dot" w:pos="8306"/>
              <w:tab w:val="clear" w:pos="8296"/>
            </w:tabs>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"2-2" \h \z \t "标题 1,1"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_Toc12307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bCs w:val="0"/>
              <w:szCs w:val="32"/>
            </w:rPr>
            <w:t>前 言</w:t>
          </w:r>
          <w:r>
            <w:tab/>
          </w:r>
          <w:r>
            <w:fldChar w:fldCharType="begin"/>
          </w:r>
          <w:r>
            <w:instrText xml:space="preserve"> PAGEREF _Toc12307 </w:instrText>
          </w:r>
          <w:r>
            <w:fldChar w:fldCharType="separate"/>
          </w:r>
          <w:r>
            <w:t>1</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_Toc11266 </w:instrText>
          </w:r>
          <w:r>
            <w:rPr>
              <w:rFonts w:hint="eastAsia" w:ascii="仿宋_GB2312" w:hAnsi="仿宋_GB2312" w:eastAsia="仿宋_GB2312" w:cs="仿宋_GB2312"/>
              <w:szCs w:val="21"/>
            </w:rPr>
            <w:fldChar w:fldCharType="separate"/>
          </w:r>
          <w:r>
            <w:rPr>
              <w:rFonts w:hint="eastAsia" w:ascii="黑体" w:hAnsi="黑体" w:cs="黑体"/>
              <w:bCs w:val="0"/>
              <w:szCs w:val="32"/>
            </w:rPr>
            <w:t>一、规划基础</w:t>
          </w:r>
          <w:r>
            <w:tab/>
          </w:r>
          <w:r>
            <w:fldChar w:fldCharType="begin"/>
          </w:r>
          <w:r>
            <w:instrText xml:space="preserve"> PAGEREF _Toc11266 </w:instrText>
          </w:r>
          <w:r>
            <w:fldChar w:fldCharType="separate"/>
          </w:r>
          <w:r>
            <w:t>2</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_Toc9266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（一）发展现状</w:t>
          </w:r>
          <w:r>
            <w:tab/>
          </w:r>
          <w:r>
            <w:fldChar w:fldCharType="begin"/>
          </w:r>
          <w:r>
            <w:instrText xml:space="preserve"> PAGEREF _Toc9266 </w:instrText>
          </w:r>
          <w:r>
            <w:fldChar w:fldCharType="separate"/>
          </w:r>
          <w:r>
            <w:t>2</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_Toc27228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（二）形势要求</w:t>
          </w:r>
          <w:r>
            <w:tab/>
          </w:r>
          <w:r>
            <w:fldChar w:fldCharType="begin"/>
          </w:r>
          <w:r>
            <w:instrText xml:space="preserve"> PAGEREF _Toc27228 </w:instrText>
          </w:r>
          <w:r>
            <w:fldChar w:fldCharType="separate"/>
          </w:r>
          <w:r>
            <w:t>2</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_Toc29600 </w:instrText>
          </w:r>
          <w:r>
            <w:rPr>
              <w:rFonts w:hint="eastAsia" w:ascii="仿宋_GB2312" w:hAnsi="仿宋_GB2312" w:eastAsia="仿宋_GB2312" w:cs="仿宋_GB2312"/>
              <w:szCs w:val="21"/>
            </w:rPr>
            <w:fldChar w:fldCharType="separate"/>
          </w:r>
          <w:r>
            <w:rPr>
              <w:rFonts w:hint="eastAsia" w:ascii="黑体" w:hAnsi="黑体" w:cs="黑体"/>
              <w:bCs w:val="0"/>
              <w:szCs w:val="32"/>
            </w:rPr>
            <w:t>二、总体思路</w:t>
          </w:r>
          <w:r>
            <w:tab/>
          </w:r>
          <w:r>
            <w:fldChar w:fldCharType="begin"/>
          </w:r>
          <w:r>
            <w:instrText xml:space="preserve"> PAGEREF _Toc29600 </w:instrText>
          </w:r>
          <w:r>
            <w:fldChar w:fldCharType="separate"/>
          </w:r>
          <w:r>
            <w:t>4</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_Toc19639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（一）指导思想</w:t>
          </w:r>
          <w:r>
            <w:tab/>
          </w:r>
          <w:r>
            <w:fldChar w:fldCharType="begin"/>
          </w:r>
          <w:r>
            <w:instrText xml:space="preserve"> PAGEREF _Toc19639 </w:instrText>
          </w:r>
          <w:r>
            <w:fldChar w:fldCharType="separate"/>
          </w:r>
          <w:r>
            <w:t>4</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_Toc2619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（二）基本原则</w:t>
          </w:r>
          <w:r>
            <w:tab/>
          </w:r>
          <w:r>
            <w:fldChar w:fldCharType="begin"/>
          </w:r>
          <w:r>
            <w:instrText xml:space="preserve"> PAGEREF _Toc2619 </w:instrText>
          </w:r>
          <w:r>
            <w:fldChar w:fldCharType="separate"/>
          </w:r>
          <w:r>
            <w:t>4</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_Toc16651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（三）规划目标</w:t>
          </w:r>
          <w:r>
            <w:tab/>
          </w:r>
          <w:r>
            <w:fldChar w:fldCharType="begin"/>
          </w:r>
          <w:r>
            <w:instrText xml:space="preserve"> PAGEREF _Toc16651 </w:instrText>
          </w:r>
          <w:r>
            <w:fldChar w:fldCharType="separate"/>
          </w:r>
          <w:r>
            <w:t>5</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_Toc12661 </w:instrText>
          </w:r>
          <w:r>
            <w:rPr>
              <w:rFonts w:hint="eastAsia" w:ascii="仿宋_GB2312" w:hAnsi="仿宋_GB2312" w:eastAsia="仿宋_GB2312" w:cs="仿宋_GB2312"/>
              <w:szCs w:val="21"/>
            </w:rPr>
            <w:fldChar w:fldCharType="separate"/>
          </w:r>
          <w:r>
            <w:rPr>
              <w:rFonts w:hint="eastAsia" w:ascii="黑体" w:hAnsi="黑体" w:cs="黑体"/>
              <w:bCs w:val="0"/>
              <w:szCs w:val="32"/>
            </w:rPr>
            <w:t>三、布局方案</w:t>
          </w:r>
          <w:r>
            <w:tab/>
          </w:r>
          <w:r>
            <w:fldChar w:fldCharType="begin"/>
          </w:r>
          <w:r>
            <w:instrText xml:space="preserve"> PAGEREF _Toc12661 </w:instrText>
          </w:r>
          <w:r>
            <w:fldChar w:fldCharType="separate"/>
          </w:r>
          <w:r>
            <w:t>6</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_Toc14546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（一）等级分类</w:t>
          </w:r>
          <w:r>
            <w:tab/>
          </w:r>
          <w:r>
            <w:fldChar w:fldCharType="begin"/>
          </w:r>
          <w:r>
            <w:instrText xml:space="preserve"> PAGEREF _Toc14546 </w:instrText>
          </w:r>
          <w:r>
            <w:fldChar w:fldCharType="separate"/>
          </w:r>
          <w:r>
            <w:t>6</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_Toc4952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（二）功能配置</w:t>
          </w:r>
          <w:r>
            <w:tab/>
          </w:r>
          <w:r>
            <w:fldChar w:fldCharType="begin"/>
          </w:r>
          <w:r>
            <w:instrText xml:space="preserve"> PAGEREF _Toc4952 </w:instrText>
          </w:r>
          <w:r>
            <w:fldChar w:fldCharType="separate"/>
          </w:r>
          <w:r>
            <w:t>6</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_Toc673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（三）服务区平均间距</w:t>
          </w:r>
          <w:r>
            <w:tab/>
          </w:r>
          <w:r>
            <w:fldChar w:fldCharType="begin"/>
          </w:r>
          <w:r>
            <w:instrText xml:space="preserve"> PAGEREF _Toc673 </w:instrText>
          </w:r>
          <w:r>
            <w:fldChar w:fldCharType="separate"/>
          </w:r>
          <w:r>
            <w:t>6</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_Toc1575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（四）用地规模</w:t>
          </w:r>
          <w:r>
            <w:tab/>
          </w:r>
          <w:r>
            <w:fldChar w:fldCharType="begin"/>
          </w:r>
          <w:r>
            <w:instrText xml:space="preserve"> PAGEREF _Toc1575 </w:instrText>
          </w:r>
          <w:r>
            <w:fldChar w:fldCharType="separate"/>
          </w:r>
          <w:r>
            <w:t>7</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_Toc23972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（五）布局方案</w:t>
          </w:r>
          <w:r>
            <w:tab/>
          </w:r>
          <w:r>
            <w:fldChar w:fldCharType="begin"/>
          </w:r>
          <w:r>
            <w:instrText xml:space="preserve"> PAGEREF _Toc23972 </w:instrText>
          </w:r>
          <w:r>
            <w:fldChar w:fldCharType="separate"/>
          </w:r>
          <w:r>
            <w:t>8</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_Toc28269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（六）布局效果</w:t>
          </w:r>
          <w:r>
            <w:tab/>
          </w:r>
          <w:r>
            <w:fldChar w:fldCharType="begin"/>
          </w:r>
          <w:r>
            <w:instrText xml:space="preserve"> PAGEREF _Toc28269 </w:instrText>
          </w:r>
          <w:r>
            <w:fldChar w:fldCharType="separate"/>
          </w:r>
          <w:r>
            <w:t>8</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_Toc32264 </w:instrText>
          </w:r>
          <w:r>
            <w:rPr>
              <w:rFonts w:hint="eastAsia" w:ascii="仿宋_GB2312" w:hAnsi="仿宋_GB2312" w:eastAsia="仿宋_GB2312" w:cs="仿宋_GB2312"/>
              <w:szCs w:val="21"/>
            </w:rPr>
            <w:fldChar w:fldCharType="separate"/>
          </w:r>
          <w:r>
            <w:rPr>
              <w:rFonts w:hint="eastAsia" w:ascii="黑体" w:hAnsi="黑体" w:cs="黑体"/>
              <w:bCs w:val="0"/>
              <w:szCs w:val="32"/>
            </w:rPr>
            <w:t>四、实施安排</w:t>
          </w:r>
          <w:r>
            <w:tab/>
          </w:r>
          <w:r>
            <w:fldChar w:fldCharType="begin"/>
          </w:r>
          <w:r>
            <w:instrText xml:space="preserve"> PAGEREF _Toc32264 </w:instrText>
          </w:r>
          <w:r>
            <w:fldChar w:fldCharType="separate"/>
          </w:r>
          <w:r>
            <w:t>9</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_Toc12869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（一）近期（2020-2025年）</w:t>
          </w:r>
          <w:r>
            <w:tab/>
          </w:r>
          <w:r>
            <w:fldChar w:fldCharType="begin"/>
          </w:r>
          <w:r>
            <w:instrText xml:space="preserve"> PAGEREF _Toc12869 </w:instrText>
          </w:r>
          <w:r>
            <w:fldChar w:fldCharType="separate"/>
          </w:r>
          <w:r>
            <w:t>9</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_Toc12688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（二）中远期（2026-2035年）</w:t>
          </w:r>
          <w:r>
            <w:tab/>
          </w:r>
          <w:r>
            <w:fldChar w:fldCharType="begin"/>
          </w:r>
          <w:r>
            <w:instrText xml:space="preserve"> PAGEREF _Toc12688 </w:instrText>
          </w:r>
          <w:r>
            <w:fldChar w:fldCharType="separate"/>
          </w:r>
          <w:r>
            <w:t>11</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_Toc20508 </w:instrText>
          </w:r>
          <w:r>
            <w:rPr>
              <w:rFonts w:hint="eastAsia" w:ascii="仿宋_GB2312" w:hAnsi="仿宋_GB2312" w:eastAsia="仿宋_GB2312" w:cs="仿宋_GB2312"/>
              <w:szCs w:val="21"/>
            </w:rPr>
            <w:fldChar w:fldCharType="separate"/>
          </w:r>
          <w:r>
            <w:rPr>
              <w:rFonts w:hint="eastAsia" w:ascii="黑体" w:hAnsi="黑体" w:cs="黑体"/>
              <w:bCs w:val="0"/>
              <w:szCs w:val="32"/>
            </w:rPr>
            <w:t>五、环境影响评价</w:t>
          </w:r>
          <w:r>
            <w:tab/>
          </w:r>
          <w:r>
            <w:fldChar w:fldCharType="begin"/>
          </w:r>
          <w:r>
            <w:instrText xml:space="preserve"> PAGEREF _Toc20508 </w:instrText>
          </w:r>
          <w:r>
            <w:fldChar w:fldCharType="separate"/>
          </w:r>
          <w:r>
            <w:t>11</w:t>
          </w:r>
          <w:r>
            <w:fldChar w:fldCharType="end"/>
          </w:r>
          <w:r>
            <w:rPr>
              <w:rFonts w:hint="eastAsia" w:ascii="仿宋_GB2312" w:hAnsi="仿宋_GB2312" w:eastAsia="仿宋_GB2312" w:cs="仿宋_GB2312"/>
              <w:szCs w:val="21"/>
            </w:rPr>
            <w:fldChar w:fldCharType="end"/>
          </w:r>
        </w:p>
        <w:p>
          <w:pPr>
            <w:pStyle w:val="20"/>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_Toc3555 </w:instrText>
          </w:r>
          <w:r>
            <w:rPr>
              <w:rFonts w:hint="eastAsia" w:ascii="仿宋_GB2312" w:hAnsi="仿宋_GB2312" w:eastAsia="仿宋_GB2312" w:cs="仿宋_GB2312"/>
              <w:szCs w:val="21"/>
            </w:rPr>
            <w:fldChar w:fldCharType="separate"/>
          </w:r>
          <w:r>
            <w:rPr>
              <w:rFonts w:hint="eastAsia" w:ascii="黑体" w:hAnsi="黑体" w:cs="黑体"/>
              <w:bCs w:val="0"/>
              <w:szCs w:val="32"/>
            </w:rPr>
            <w:t>六、保障措施</w:t>
          </w:r>
          <w:r>
            <w:tab/>
          </w:r>
          <w:r>
            <w:fldChar w:fldCharType="begin"/>
          </w:r>
          <w:r>
            <w:instrText xml:space="preserve"> PAGEREF _Toc3555 </w:instrText>
          </w:r>
          <w:r>
            <w:fldChar w:fldCharType="separate"/>
          </w:r>
          <w:r>
            <w:t>12</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_Toc31802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（一）加强组织协调，确保规划实施</w:t>
          </w:r>
          <w:r>
            <w:tab/>
          </w:r>
          <w:r>
            <w:fldChar w:fldCharType="begin"/>
          </w:r>
          <w:r>
            <w:instrText xml:space="preserve"> PAGEREF _Toc31802 </w:instrText>
          </w:r>
          <w:r>
            <w:fldChar w:fldCharType="separate"/>
          </w:r>
          <w:r>
            <w:t>12</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_Toc7777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（二）保障用地落实、完善配套设施</w:t>
          </w:r>
          <w:r>
            <w:tab/>
          </w:r>
          <w:r>
            <w:fldChar w:fldCharType="begin"/>
          </w:r>
          <w:r>
            <w:instrText xml:space="preserve"> PAGEREF _Toc7777 </w:instrText>
          </w:r>
          <w:r>
            <w:fldChar w:fldCharType="separate"/>
          </w:r>
          <w:r>
            <w:t>12</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_Toc979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（三）完善投资机制，保障资金供给</w:t>
          </w:r>
          <w:r>
            <w:tab/>
          </w:r>
          <w:r>
            <w:fldChar w:fldCharType="begin"/>
          </w:r>
          <w:r>
            <w:instrText xml:space="preserve"> PAGEREF _Toc979 </w:instrText>
          </w:r>
          <w:r>
            <w:fldChar w:fldCharType="separate"/>
          </w:r>
          <w:r>
            <w:t>13</w:t>
          </w:r>
          <w:r>
            <w:fldChar w:fldCharType="end"/>
          </w:r>
          <w:r>
            <w:rPr>
              <w:rFonts w:hint="eastAsia" w:ascii="仿宋_GB2312" w:hAnsi="仿宋_GB2312" w:eastAsia="仿宋_GB2312" w:cs="仿宋_GB2312"/>
              <w:szCs w:val="21"/>
            </w:rPr>
            <w:fldChar w:fldCharType="end"/>
          </w:r>
        </w:p>
        <w:p>
          <w:pPr>
            <w:pStyle w:val="21"/>
            <w:tabs>
              <w:tab w:val="right" w:leader="dot" w:pos="8306"/>
              <w:tab w:val="clear" w:pos="8296"/>
            </w:tabs>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_Toc30076 </w:instrText>
          </w:r>
          <w:r>
            <w:rPr>
              <w:rFonts w:hint="eastAsia" w:ascii="仿宋_GB2312" w:hAnsi="仿宋_GB2312" w:eastAsia="仿宋_GB2312" w:cs="仿宋_GB2312"/>
              <w:szCs w:val="21"/>
            </w:rPr>
            <w:fldChar w:fldCharType="separate"/>
          </w:r>
          <w:r>
            <w:rPr>
              <w:rFonts w:hint="eastAsia" w:ascii="楷体_GB2312" w:hAnsi="楷体_GB2312" w:eastAsia="楷体_GB2312" w:cs="楷体_GB2312"/>
            </w:rPr>
            <w:t>（四）重视地域文化融合，凸显地方特色展示</w:t>
          </w:r>
          <w:r>
            <w:tab/>
          </w:r>
          <w:r>
            <w:fldChar w:fldCharType="begin"/>
          </w:r>
          <w:r>
            <w:instrText xml:space="preserve"> PAGEREF _Toc30076 </w:instrText>
          </w:r>
          <w:r>
            <w:fldChar w:fldCharType="separate"/>
          </w:r>
          <w:r>
            <w:t>13</w:t>
          </w:r>
          <w:r>
            <w:fldChar w:fldCharType="end"/>
          </w:r>
          <w:r>
            <w:rPr>
              <w:rFonts w:hint="eastAsia" w:ascii="仿宋_GB2312" w:hAnsi="仿宋_GB2312" w:eastAsia="仿宋_GB2312" w:cs="仿宋_GB2312"/>
              <w:szCs w:val="21"/>
            </w:rPr>
            <w:fldChar w:fldCharType="end"/>
          </w:r>
        </w:p>
        <w:p>
          <w:pPr>
            <w:adjustRightInd w:val="0"/>
            <w:snapToGrid w:val="0"/>
            <w:spacing w:line="288" w:lineRule="auto"/>
            <w:ind w:firstLine="640"/>
            <w:rPr>
              <w:rFonts w:ascii="仿宋_GB2312" w:hAnsi="仿宋_GB2312" w:eastAsia="仿宋_GB2312" w:cs="仿宋_GB2312"/>
              <w:b/>
              <w:bCs/>
              <w:lang w:val="zh-CN"/>
            </w:rPr>
          </w:pPr>
          <w:r>
            <w:rPr>
              <w:rFonts w:hint="eastAsia" w:ascii="仿宋_GB2312" w:hAnsi="仿宋_GB2312" w:eastAsia="仿宋_GB2312" w:cs="仿宋_GB2312"/>
              <w:szCs w:val="21"/>
            </w:rPr>
            <w:fldChar w:fldCharType="end"/>
          </w:r>
        </w:p>
      </w:sdtContent>
    </w:sdt>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附件：高速公路服务区用地规模测算</w:t>
      </w:r>
    </w:p>
    <w:p>
      <w:pPr>
        <w:adjustRightInd w:val="0"/>
        <w:snapToGrid w:val="0"/>
        <w:spacing w:line="560" w:lineRule="exact"/>
        <w:ind w:firstLine="640"/>
        <w:rPr>
          <w:rFonts w:ascii="仿宋_GB2312" w:hAnsi="仿宋_GB2312" w:eastAsia="仿宋_GB2312" w:cs="仿宋_GB2312"/>
        </w:rPr>
      </w:pP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附表：1.广东省高速公路服务区功能配置表</w:t>
      </w: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 xml:space="preserve">      2.广东省高速公路服务区规划布局表</w:t>
      </w: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 xml:space="preserve">      3.广东省高速公路特色服务区</w:t>
      </w:r>
      <w:r>
        <w:rPr>
          <w:rFonts w:hint="eastAsia" w:ascii="仿宋_GB2312" w:hAnsi="仿宋_GB2312" w:eastAsia="仿宋_GB2312" w:cs="仿宋_GB2312"/>
          <w:lang w:val="en-US" w:eastAsia="zh-CN"/>
        </w:rPr>
        <w:t>近期</w:t>
      </w:r>
      <w:r>
        <w:rPr>
          <w:rFonts w:hint="eastAsia" w:ascii="仿宋_GB2312" w:hAnsi="仿宋_GB2312" w:eastAsia="仿宋_GB2312" w:cs="仿宋_GB2312"/>
        </w:rPr>
        <w:t>建设表</w:t>
      </w:r>
    </w:p>
    <w:p>
      <w:pPr>
        <w:adjustRightInd w:val="0"/>
        <w:snapToGrid w:val="0"/>
        <w:spacing w:line="560" w:lineRule="exact"/>
        <w:ind w:firstLine="640"/>
        <w:rPr>
          <w:rFonts w:ascii="仿宋_GB2312" w:hAnsi="仿宋_GB2312" w:eastAsia="仿宋_GB2312" w:cs="仿宋_GB2312"/>
        </w:rPr>
      </w:pP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附图：1.广东省高速公路服务区现状分布图</w:t>
      </w: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 xml:space="preserve">      2.广东省高速公路服务区规划布局图</w:t>
      </w:r>
    </w:p>
    <w:p>
      <w:pPr>
        <w:adjustRightInd w:val="0"/>
        <w:snapToGrid w:val="0"/>
        <w:spacing w:line="560" w:lineRule="exact"/>
        <w:ind w:firstLine="640"/>
        <w:rPr>
          <w:rFonts w:ascii="仿宋_GB2312" w:hAnsi="仿宋_GB2312" w:eastAsia="仿宋_GB2312" w:cs="仿宋_GB2312"/>
        </w:rPr>
      </w:pPr>
      <w:r>
        <w:rPr>
          <w:rFonts w:hint="eastAsia" w:ascii="仿宋_GB2312" w:hAnsi="仿宋_GB2312" w:eastAsia="仿宋_GB2312" w:cs="仿宋_GB2312"/>
        </w:rPr>
        <w:t xml:space="preserve">      3.广东省高速公路服务区建设时序图</w:t>
      </w:r>
    </w:p>
    <w:p>
      <w:pPr>
        <w:ind w:firstLine="640"/>
        <w:rPr>
          <w:rFonts w:ascii="仿宋_GB2312" w:hAnsi="仿宋_GB2312" w:eastAsia="仿宋_GB2312" w:cs="仿宋_GB2312"/>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adjustRightInd w:val="0"/>
        <w:snapToGrid w:val="0"/>
        <w:spacing w:before="0" w:after="0" w:line="560" w:lineRule="exact"/>
        <w:jc w:val="center"/>
        <w:rPr>
          <w:rFonts w:ascii="仿宋_GB2312" w:hAnsi="仿宋_GB2312" w:eastAsia="仿宋_GB2312" w:cs="仿宋_GB2312"/>
          <w:b w:val="0"/>
          <w:bCs w:val="0"/>
          <w:szCs w:val="32"/>
        </w:rPr>
      </w:pPr>
      <w:bookmarkStart w:id="0" w:name="_Toc12307"/>
      <w:bookmarkStart w:id="1" w:name="_Toc21102"/>
      <w:bookmarkStart w:id="2" w:name="_Toc22226"/>
      <w:bookmarkStart w:id="3" w:name="_Toc32255"/>
      <w:bookmarkStart w:id="4" w:name="_Toc20779"/>
      <w:bookmarkStart w:id="5" w:name="_Toc8420"/>
      <w:bookmarkStart w:id="6" w:name="_Toc31523"/>
      <w:bookmarkStart w:id="7" w:name="_Toc40436065"/>
      <w:bookmarkStart w:id="8" w:name="_Toc5889"/>
      <w:bookmarkStart w:id="9" w:name="_Toc477448866"/>
      <w:r>
        <w:rPr>
          <w:rFonts w:hint="eastAsia" w:ascii="仿宋_GB2312" w:hAnsi="仿宋_GB2312" w:eastAsia="仿宋_GB2312" w:cs="仿宋_GB2312"/>
          <w:b w:val="0"/>
          <w:bCs w:val="0"/>
          <w:szCs w:val="32"/>
        </w:rPr>
        <w:t>前 言</w:t>
      </w:r>
      <w:bookmarkEnd w:id="0"/>
      <w:bookmarkEnd w:id="1"/>
      <w:bookmarkEnd w:id="2"/>
      <w:bookmarkEnd w:id="3"/>
      <w:bookmarkEnd w:id="4"/>
      <w:bookmarkEnd w:id="5"/>
      <w:bookmarkEnd w:id="6"/>
      <w:bookmarkEnd w:id="7"/>
      <w:bookmarkEnd w:id="8"/>
    </w:p>
    <w:p>
      <w:pPr>
        <w:adjustRightInd w:val="0"/>
        <w:snapToGrid w:val="0"/>
        <w:spacing w:line="560" w:lineRule="exact"/>
        <w:ind w:firstLine="640"/>
        <w:rPr>
          <w:rFonts w:ascii="仿宋_GB2312" w:hAnsi="仿宋_GB2312" w:eastAsia="仿宋_GB2312" w:cs="仿宋_GB2312"/>
          <w:szCs w:val="32"/>
        </w:rPr>
      </w:pPr>
      <w:bookmarkStart w:id="10" w:name="_Toc479618612"/>
      <w:r>
        <w:rPr>
          <w:rFonts w:hint="eastAsia" w:ascii="仿宋_GB2312" w:hAnsi="仿宋_GB2312" w:eastAsia="仿宋_GB2312" w:cs="仿宋_GB2312"/>
          <w:szCs w:val="32"/>
        </w:rPr>
        <w:t>高速公路服务区是体现广东交通文化的重要窗口，是传播岭南地域特色文化的重要平台，是服务过往车辆和司乘人员的重要场所。对满足司乘人员休息、餐饮、购物等需求，预防疲劳驾驶，并为车辆提供必要的加油、维修服务，消除行车安全隐患等具有重要作用，也是提升交通运输服务质量的重要内容。</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根据《广东省高速公路网规划（2020-2035年）》，至2035年，全省高速公路网总规模将达到1.5万公里。为同步建设好服务设施，满足日益增长的休憩和车辆服务需求，构建现代交通运输服务体系，特制订本规划。</w:t>
      </w:r>
      <w:r>
        <w:rPr>
          <w:rFonts w:hint="eastAsia" w:ascii="仿宋_GB2312" w:hAnsi="仿宋_GB2312" w:eastAsia="仿宋_GB2312" w:cs="仿宋_GB2312"/>
          <w:color w:val="000000"/>
          <w:szCs w:val="32"/>
        </w:rPr>
        <w:t>本规划坚持系统性、前瞻性、战略性原则，并保持适度开放性，是指导全省高速公路服务区建设发展的依据文件，规划期限为2020年至2035年，展望到2050年。</w:t>
      </w:r>
    </w:p>
    <w:bookmarkEnd w:id="10"/>
    <w:p>
      <w:pPr>
        <w:pStyle w:val="4"/>
        <w:adjustRightInd w:val="0"/>
        <w:snapToGrid w:val="0"/>
        <w:spacing w:before="0" w:after="0" w:line="560" w:lineRule="exact"/>
        <w:ind w:firstLine="643"/>
        <w:rPr>
          <w:rFonts w:ascii="仿宋_GB2312" w:hAnsi="仿宋_GB2312" w:eastAsia="仿宋_GB2312" w:cs="仿宋_GB2312"/>
        </w:rPr>
        <w:sectPr>
          <w:pgSz w:w="11906" w:h="16838"/>
          <w:pgMar w:top="1440" w:right="1800" w:bottom="1440" w:left="1800" w:header="851" w:footer="992" w:gutter="0"/>
          <w:pgNumType w:start="1"/>
          <w:cols w:space="425" w:num="1"/>
          <w:docGrid w:type="lines" w:linePitch="312" w:charSpace="0"/>
        </w:sectPr>
      </w:pPr>
    </w:p>
    <w:p>
      <w:pPr>
        <w:pStyle w:val="2"/>
        <w:adjustRightInd w:val="0"/>
        <w:snapToGrid w:val="0"/>
        <w:spacing w:before="0" w:after="0" w:line="560" w:lineRule="exact"/>
        <w:ind w:firstLine="640" w:firstLineChars="200"/>
        <w:rPr>
          <w:rFonts w:ascii="黑体" w:hAnsi="黑体" w:cs="黑体"/>
          <w:b w:val="0"/>
          <w:bCs w:val="0"/>
          <w:szCs w:val="32"/>
        </w:rPr>
      </w:pPr>
      <w:bookmarkStart w:id="11" w:name="_Toc40436066"/>
      <w:bookmarkStart w:id="12" w:name="_Toc2126"/>
      <w:bookmarkStart w:id="13" w:name="_Toc487989036"/>
      <w:bookmarkStart w:id="14" w:name="_Toc7589"/>
      <w:bookmarkStart w:id="15" w:name="_Toc13681"/>
      <w:bookmarkStart w:id="16" w:name="_Toc23421"/>
      <w:bookmarkStart w:id="17" w:name="_Toc11033"/>
      <w:bookmarkStart w:id="18" w:name="_Toc31579"/>
      <w:bookmarkStart w:id="19" w:name="_Toc2641"/>
      <w:bookmarkStart w:id="20" w:name="_Toc11266"/>
      <w:r>
        <w:rPr>
          <w:rFonts w:hint="eastAsia" w:ascii="黑体" w:hAnsi="黑体" w:cs="黑体"/>
          <w:b w:val="0"/>
          <w:bCs w:val="0"/>
          <w:szCs w:val="32"/>
        </w:rPr>
        <w:t>一、规划基础</w:t>
      </w:r>
      <w:bookmarkEnd w:id="11"/>
      <w:bookmarkEnd w:id="12"/>
      <w:bookmarkEnd w:id="13"/>
      <w:bookmarkEnd w:id="14"/>
      <w:bookmarkEnd w:id="15"/>
      <w:bookmarkEnd w:id="16"/>
      <w:bookmarkEnd w:id="17"/>
      <w:bookmarkEnd w:id="18"/>
      <w:bookmarkEnd w:id="19"/>
      <w:bookmarkEnd w:id="20"/>
    </w:p>
    <w:p>
      <w:pPr>
        <w:pStyle w:val="3"/>
        <w:adjustRightInd w:val="0"/>
        <w:snapToGrid w:val="0"/>
        <w:spacing w:before="0" w:after="0" w:line="560" w:lineRule="exact"/>
        <w:ind w:firstLine="643" w:firstLineChars="200"/>
        <w:rPr>
          <w:rFonts w:ascii="楷体_GB2312" w:hAnsi="楷体_GB2312" w:eastAsia="楷体_GB2312" w:cs="楷体_GB2312"/>
        </w:rPr>
      </w:pPr>
      <w:bookmarkStart w:id="21" w:name="_Toc6784"/>
      <w:bookmarkStart w:id="22" w:name="_Toc24312"/>
      <w:bookmarkStart w:id="23" w:name="_Toc28797"/>
      <w:bookmarkStart w:id="24" w:name="_Toc32436"/>
      <w:bookmarkStart w:id="25" w:name="_Toc24855"/>
      <w:bookmarkStart w:id="26" w:name="_Toc40436067"/>
      <w:bookmarkStart w:id="27" w:name="_Toc24143"/>
      <w:bookmarkStart w:id="28" w:name="_Toc24659"/>
      <w:bookmarkStart w:id="29" w:name="_Toc9266"/>
      <w:bookmarkStart w:id="30" w:name="_Toc487989039"/>
      <w:r>
        <w:rPr>
          <w:rFonts w:hint="eastAsia" w:ascii="楷体_GB2312" w:hAnsi="楷体_GB2312" w:eastAsia="楷体_GB2312" w:cs="楷体_GB2312"/>
        </w:rPr>
        <w:t>（一）发展现状</w:t>
      </w:r>
      <w:bookmarkEnd w:id="21"/>
      <w:bookmarkEnd w:id="22"/>
      <w:bookmarkEnd w:id="23"/>
      <w:bookmarkEnd w:id="24"/>
      <w:bookmarkEnd w:id="25"/>
      <w:bookmarkEnd w:id="26"/>
      <w:bookmarkEnd w:id="27"/>
      <w:bookmarkEnd w:id="28"/>
      <w:bookmarkEnd w:id="29"/>
    </w:p>
    <w:p>
      <w:pPr>
        <w:pStyle w:val="4"/>
        <w:adjustRightInd w:val="0"/>
        <w:snapToGrid w:val="0"/>
        <w:spacing w:before="0" w:after="0" w:line="560" w:lineRule="exact"/>
        <w:ind w:firstLine="643" w:firstLineChars="200"/>
        <w:rPr>
          <w:rFonts w:ascii="仿宋_GB2312" w:hAnsi="仿宋_GB2312" w:eastAsia="仿宋_GB2312" w:cs="仿宋_GB2312"/>
        </w:rPr>
      </w:pPr>
      <w:r>
        <w:rPr>
          <w:rFonts w:hint="eastAsia" w:ascii="仿宋_GB2312" w:hAnsi="仿宋_GB2312" w:eastAsia="仿宋_GB2312" w:cs="仿宋_GB2312"/>
        </w:rPr>
        <w:t>1.规模总量稳步增长。</w:t>
      </w:r>
      <w:bookmarkEnd w:id="30"/>
      <w:r>
        <w:rPr>
          <w:rFonts w:hint="eastAsia" w:ascii="仿宋_GB2312" w:hAnsi="仿宋_GB2312" w:eastAsia="仿宋_GB2312" w:cs="仿宋_GB2312"/>
          <w:b w:val="0"/>
          <w:bCs w:val="0"/>
        </w:rPr>
        <w:t>截至2019年底，全省已建高速公路服务区154对、停车区59对。服务区和停车区平均间距为 42.3公里、密度为2.4对/百公里，其中服务区平均间距为58.5公里、密度为1.7对/百公里。服务区平均占地面积83亩，平均建设面积6649平方米。</w:t>
      </w:r>
    </w:p>
    <w:p>
      <w:pPr>
        <w:pStyle w:val="4"/>
        <w:adjustRightInd w:val="0"/>
        <w:snapToGrid w:val="0"/>
        <w:spacing w:before="0" w:after="0" w:line="560" w:lineRule="exact"/>
        <w:ind w:firstLine="643" w:firstLineChars="200"/>
        <w:rPr>
          <w:rFonts w:ascii="仿宋_GB2312" w:hAnsi="仿宋_GB2312" w:eastAsia="仿宋_GB2312" w:cs="仿宋_GB2312"/>
        </w:rPr>
      </w:pPr>
      <w:r>
        <w:rPr>
          <w:rFonts w:hint="eastAsia" w:ascii="仿宋_GB2312" w:hAnsi="仿宋_GB2312" w:eastAsia="仿宋_GB2312" w:cs="仿宋_GB2312"/>
        </w:rPr>
        <w:t>2.功能设施日趋完善。</w:t>
      </w:r>
      <w:r>
        <w:rPr>
          <w:rFonts w:hint="eastAsia" w:ascii="仿宋_GB2312" w:hAnsi="仿宋_GB2312" w:eastAsia="仿宋_GB2312" w:cs="仿宋_GB2312"/>
          <w:b w:val="0"/>
          <w:bCs w:val="0"/>
        </w:rPr>
        <w:t>卫生间和超市配备率为100%，加油站和餐饮设施配备率分别达到85%和80%，车辆维修场所配备率达到一半以上，基本满足司乘人员休憩需求以及车辆维修需要。部分服务区还配备了住宿、母婴室、第三卫生间、充电桩、信息查询机、无线网络等便民设施，服务区功能设施日趋完善。</w:t>
      </w:r>
    </w:p>
    <w:p>
      <w:pPr>
        <w:pStyle w:val="4"/>
        <w:adjustRightInd w:val="0"/>
        <w:snapToGrid w:val="0"/>
        <w:spacing w:before="0" w:after="0" w:line="560" w:lineRule="exact"/>
        <w:ind w:firstLine="643" w:firstLineChars="200"/>
        <w:rPr>
          <w:rFonts w:ascii="仿宋_GB2312" w:hAnsi="仿宋_GB2312" w:eastAsia="仿宋_GB2312" w:cs="仿宋_GB2312"/>
        </w:rPr>
      </w:pPr>
      <w:r>
        <w:rPr>
          <w:rFonts w:hint="eastAsia" w:ascii="仿宋_GB2312" w:hAnsi="仿宋_GB2312" w:eastAsia="仿宋_GB2312" w:cs="仿宋_GB2312"/>
        </w:rPr>
        <w:t>3.服务水平日益提高。</w:t>
      </w:r>
      <w:r>
        <w:rPr>
          <w:rFonts w:hint="eastAsia" w:ascii="仿宋_GB2312" w:hAnsi="仿宋_GB2312" w:eastAsia="仿宋_GB2312" w:cs="仿宋_GB2312"/>
          <w:b w:val="0"/>
          <w:bCs w:val="0"/>
        </w:rPr>
        <w:t>自2016年国家开展高速公路服务区质量等级评定和厕所卫生整治提升工作以来，我省高速公路服务区服务水平日益提高，卫生间“脏、乱、差”状况明显改善，停车引导更加科学有序。</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31" w:name="_Toc3215"/>
      <w:bookmarkStart w:id="32" w:name="_Toc25281"/>
      <w:bookmarkStart w:id="33" w:name="_Toc24456"/>
      <w:bookmarkStart w:id="34" w:name="_Toc31544"/>
      <w:bookmarkStart w:id="35" w:name="_Toc25024"/>
      <w:bookmarkStart w:id="36" w:name="_Toc40436068"/>
      <w:bookmarkStart w:id="37" w:name="_Toc487989043"/>
      <w:bookmarkStart w:id="38" w:name="_Toc561"/>
      <w:bookmarkStart w:id="39" w:name="_Toc27228"/>
      <w:bookmarkStart w:id="40" w:name="_Toc3887"/>
      <w:r>
        <w:rPr>
          <w:rFonts w:hint="eastAsia" w:ascii="楷体_GB2312" w:hAnsi="楷体_GB2312" w:eastAsia="楷体_GB2312" w:cs="楷体_GB2312"/>
        </w:rPr>
        <w:t>（二）形势要求</w:t>
      </w:r>
      <w:bookmarkEnd w:id="31"/>
      <w:bookmarkEnd w:id="32"/>
      <w:bookmarkEnd w:id="33"/>
      <w:bookmarkEnd w:id="34"/>
      <w:bookmarkEnd w:id="35"/>
      <w:bookmarkEnd w:id="36"/>
      <w:bookmarkEnd w:id="37"/>
      <w:bookmarkEnd w:id="38"/>
      <w:bookmarkEnd w:id="39"/>
      <w:bookmarkEnd w:id="40"/>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我国正处于全面建成小康社会决胜阶段和开启社会主义现代化强国建设的新时期，经济已由高速增长阶段转向高质量发展阶段。社会公众不仅要求满足基本通行需求，更加重视服务的获得感，更加重视多层次、多样性的个性化服务。经济社会发展对我省高速公路服务区提出了新的更高的要求。</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1.十九大报告提出建设“交通强国”，要求提升高速公路服务区服务质量。</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十九大报告明确提出要建设“交通强国”，党中央、国务院印发了《交通强国建设纲要》，要求交通运输高质量发展，不断增强人民群众的获得感、幸福感、安全感。高速公路服务区作为提供高速公路司乘人员休憩和车辆维修的场所，需要提升服务质量和水平，助力“交通强国”建设。</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2.实现“四个走在全国前列”、当好“两个重要窗口”，要求高速公路服务区发展走在全国前列。</w:t>
      </w:r>
    </w:p>
    <w:p>
      <w:pPr>
        <w:pStyle w:val="4"/>
        <w:spacing w:before="0" w:after="0" w:line="560" w:lineRule="exact"/>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我省围绕实现“四个走在全国前列”、当好“两个重要窗口”的目标要求，将率先构建推动经济高质量发展的体制机制，率先建立现代化经济体系，率先形成全面开放新格局，率先营造共建共治共享社会治理格局。高速公路服务区作为为司乘人员提供出行服务的重要窗口，地方形象的展示窗口，需要在建设管理、服务质量等方面也率先走在全国前列。</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3.高速公路建设不断推进，要求服务区规划布局同步更新。</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规划至2035年，我省将建成约1.5万公里的高速公路网络。现有的高速公路服务区布局已无法满足高速公路的发展需求，需要进行同步更新和升级改造。</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4.以服务升级引导消费升级，要求拓展高速公路服务区功能，提升服务区经营效益。</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依托高速公路服务区平台，与高速公路沿线的旅游产业、物流产业、民俗文化相结合，打造一批特色服务区，以服务升级引导消费升级，提升高速公路服务区的经营效益、培育交通运输行业新兴经济增长点。</w:t>
      </w:r>
    </w:p>
    <w:p>
      <w:pPr>
        <w:pStyle w:val="2"/>
        <w:adjustRightInd w:val="0"/>
        <w:snapToGrid w:val="0"/>
        <w:spacing w:before="0" w:after="0" w:line="560" w:lineRule="exact"/>
        <w:ind w:firstLine="640" w:firstLineChars="200"/>
        <w:rPr>
          <w:rFonts w:ascii="黑体" w:hAnsi="黑体" w:cs="黑体"/>
          <w:b w:val="0"/>
          <w:bCs w:val="0"/>
          <w:szCs w:val="32"/>
        </w:rPr>
      </w:pPr>
      <w:bookmarkStart w:id="41" w:name="_Toc487989044"/>
      <w:bookmarkStart w:id="42" w:name="_Toc18043"/>
      <w:bookmarkStart w:id="43" w:name="_Toc40436069"/>
      <w:bookmarkStart w:id="44" w:name="_Toc12987"/>
      <w:bookmarkStart w:id="45" w:name="_Toc20988"/>
      <w:bookmarkStart w:id="46" w:name="_Toc14499"/>
      <w:bookmarkStart w:id="47" w:name="_Toc6003"/>
      <w:bookmarkStart w:id="48" w:name="_Toc23177"/>
      <w:bookmarkStart w:id="49" w:name="_Toc24262"/>
      <w:bookmarkStart w:id="50" w:name="_Toc29600"/>
      <w:r>
        <w:rPr>
          <w:rFonts w:hint="eastAsia" w:ascii="黑体" w:hAnsi="黑体" w:cs="黑体"/>
          <w:b w:val="0"/>
          <w:bCs w:val="0"/>
          <w:szCs w:val="32"/>
        </w:rPr>
        <w:t>二、总体</w:t>
      </w:r>
      <w:bookmarkEnd w:id="41"/>
      <w:r>
        <w:rPr>
          <w:rFonts w:hint="eastAsia" w:ascii="黑体" w:hAnsi="黑体" w:cs="黑体"/>
          <w:b w:val="0"/>
          <w:bCs w:val="0"/>
          <w:szCs w:val="32"/>
        </w:rPr>
        <w:t>思路</w:t>
      </w:r>
      <w:bookmarkEnd w:id="42"/>
      <w:bookmarkEnd w:id="43"/>
      <w:bookmarkEnd w:id="44"/>
      <w:bookmarkEnd w:id="45"/>
      <w:bookmarkEnd w:id="46"/>
      <w:bookmarkEnd w:id="47"/>
      <w:bookmarkEnd w:id="48"/>
      <w:bookmarkEnd w:id="49"/>
      <w:bookmarkEnd w:id="50"/>
    </w:p>
    <w:p>
      <w:pPr>
        <w:pStyle w:val="3"/>
        <w:adjustRightInd w:val="0"/>
        <w:snapToGrid w:val="0"/>
        <w:spacing w:before="0" w:after="0" w:line="560" w:lineRule="exact"/>
        <w:ind w:firstLine="643" w:firstLineChars="200"/>
        <w:rPr>
          <w:rFonts w:ascii="楷体_GB2312" w:hAnsi="楷体_GB2312" w:eastAsia="楷体_GB2312" w:cs="楷体_GB2312"/>
        </w:rPr>
      </w:pPr>
      <w:bookmarkStart w:id="51" w:name="_Toc40436070"/>
      <w:bookmarkStart w:id="52" w:name="_Toc29311"/>
      <w:bookmarkStart w:id="53" w:name="_Toc17106"/>
      <w:bookmarkStart w:id="54" w:name="_Toc15742"/>
      <w:bookmarkStart w:id="55" w:name="_Toc7367"/>
      <w:bookmarkStart w:id="56" w:name="_Toc9993"/>
      <w:bookmarkStart w:id="57" w:name="_Toc1377"/>
      <w:bookmarkStart w:id="58" w:name="_Toc133"/>
      <w:bookmarkStart w:id="59" w:name="_Toc19639"/>
      <w:bookmarkStart w:id="60" w:name="_Toc487989045"/>
      <w:r>
        <w:rPr>
          <w:rFonts w:hint="eastAsia" w:ascii="楷体_GB2312" w:hAnsi="楷体_GB2312" w:eastAsia="楷体_GB2312" w:cs="楷体_GB2312"/>
        </w:rPr>
        <w:t>（一）指导思想</w:t>
      </w:r>
      <w:bookmarkEnd w:id="51"/>
      <w:bookmarkEnd w:id="52"/>
      <w:bookmarkEnd w:id="53"/>
      <w:bookmarkEnd w:id="54"/>
      <w:bookmarkEnd w:id="55"/>
      <w:bookmarkEnd w:id="56"/>
      <w:bookmarkEnd w:id="57"/>
      <w:bookmarkEnd w:id="58"/>
      <w:bookmarkEnd w:id="59"/>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全面贯彻党的十九大精神，坚持以习近平新时代中国特色社会主义思想为指导，统筹推进“五位一体”总体布局，协调推进“四个全面”战略布局，着力解决人民日益增长的美好生活需要和不平衡不充分发展之间的矛盾，着力推进“交通强国”建设，突出服务区的公益性服务属性，以提升服务质量为主线，打造人民群众满意的高速公路服务区；处理好政府与市场、近期与远期、存量与增量、公众效益与经济效益之间的关系；坚持需求导向和问题导向，通过完善规划布局、加强升级改造、补齐服务短板，支撑构建“一核一带一区”区域发展格局，推动我省加快实现“四个走在全国前列”奋斗目标。</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61" w:name="_Toc15140"/>
      <w:bookmarkStart w:id="62" w:name="_Toc25489"/>
      <w:bookmarkStart w:id="63" w:name="_Toc16080"/>
      <w:bookmarkStart w:id="64" w:name="_Toc16579"/>
      <w:bookmarkStart w:id="65" w:name="_Toc32411"/>
      <w:bookmarkStart w:id="66" w:name="_Toc24845"/>
      <w:bookmarkStart w:id="67" w:name="_Toc19883"/>
      <w:bookmarkStart w:id="68" w:name="_Toc40436071"/>
      <w:bookmarkStart w:id="69" w:name="_Toc2619"/>
      <w:r>
        <w:rPr>
          <w:rFonts w:hint="eastAsia" w:ascii="楷体_GB2312" w:hAnsi="楷体_GB2312" w:eastAsia="楷体_GB2312" w:cs="楷体_GB2312"/>
        </w:rPr>
        <w:t>（二）基本原则</w:t>
      </w:r>
      <w:bookmarkEnd w:id="61"/>
      <w:bookmarkEnd w:id="62"/>
      <w:bookmarkEnd w:id="63"/>
      <w:bookmarkEnd w:id="64"/>
      <w:bookmarkEnd w:id="65"/>
      <w:bookmarkEnd w:id="66"/>
      <w:bookmarkEnd w:id="67"/>
      <w:bookmarkEnd w:id="68"/>
      <w:bookmarkEnd w:id="69"/>
    </w:p>
    <w:p>
      <w:pPr>
        <w:adjustRightInd w:val="0"/>
        <w:snapToGrid w:val="0"/>
        <w:spacing w:line="560" w:lineRule="exact"/>
        <w:ind w:firstLine="643"/>
        <w:rPr>
          <w:rFonts w:ascii="仿宋_GB2312" w:hAnsi="仿宋_GB2312" w:eastAsia="仿宋_GB2312" w:cs="仿宋_GB2312"/>
          <w:szCs w:val="32"/>
        </w:rPr>
      </w:pPr>
      <w:bookmarkStart w:id="70" w:name="_Toc373308469"/>
      <w:r>
        <w:rPr>
          <w:rFonts w:hint="eastAsia" w:ascii="仿宋_GB2312" w:hAnsi="仿宋_GB2312" w:eastAsia="仿宋_GB2312" w:cs="仿宋_GB2312"/>
          <w:b/>
          <w:szCs w:val="32"/>
        </w:rPr>
        <w:t>——统筹协调、适度超前</w:t>
      </w:r>
      <w:bookmarkEnd w:id="70"/>
      <w:r>
        <w:rPr>
          <w:rFonts w:hint="eastAsia" w:ascii="仿宋_GB2312" w:hAnsi="仿宋_GB2312" w:eastAsia="仿宋_GB2312" w:cs="仿宋_GB2312"/>
          <w:b/>
          <w:szCs w:val="32"/>
        </w:rPr>
        <w:t>。</w:t>
      </w:r>
      <w:r>
        <w:rPr>
          <w:rFonts w:hint="eastAsia" w:ascii="仿宋_GB2312" w:hAnsi="仿宋_GB2312" w:eastAsia="仿宋_GB2312" w:cs="仿宋_GB2312"/>
          <w:szCs w:val="32"/>
        </w:rPr>
        <w:t>依托高速公路网规划，统筹不同线路、不同区域、不同功能服务区的布局。适度超前规划高速公路服务区，做好规划引导和用地等资源预留。</w:t>
      </w:r>
    </w:p>
    <w:p>
      <w:pPr>
        <w:adjustRightInd w:val="0"/>
        <w:snapToGrid w:val="0"/>
        <w:spacing w:line="560" w:lineRule="exact"/>
        <w:ind w:firstLine="643"/>
        <w:rPr>
          <w:rFonts w:ascii="仿宋_GB2312" w:hAnsi="仿宋_GB2312" w:eastAsia="仿宋_GB2312" w:cs="仿宋_GB2312"/>
          <w:szCs w:val="32"/>
        </w:rPr>
      </w:pPr>
      <w:bookmarkStart w:id="71" w:name="_Toc373308473"/>
      <w:r>
        <w:rPr>
          <w:rFonts w:hint="eastAsia" w:ascii="仿宋_GB2312" w:hAnsi="仿宋_GB2312" w:eastAsia="仿宋_GB2312" w:cs="仿宋_GB2312"/>
          <w:b/>
          <w:szCs w:val="32"/>
        </w:rPr>
        <w:t>——</w:t>
      </w:r>
      <w:bookmarkEnd w:id="71"/>
      <w:r>
        <w:rPr>
          <w:rFonts w:hint="eastAsia" w:ascii="仿宋_GB2312" w:hAnsi="仿宋_GB2312" w:eastAsia="仿宋_GB2312" w:cs="仿宋_GB2312"/>
          <w:b/>
          <w:szCs w:val="32"/>
        </w:rPr>
        <w:t>合理布局、优化配置。</w:t>
      </w:r>
      <w:r>
        <w:rPr>
          <w:rFonts w:hint="eastAsia" w:ascii="仿宋_GB2312" w:hAnsi="仿宋_GB2312" w:eastAsia="仿宋_GB2312" w:cs="仿宋_GB2312"/>
          <w:szCs w:val="32"/>
        </w:rPr>
        <w:t>统筹考虑路线区位、技术标准、交通情况及服务设施的使用特性，合理确定服务区间距、等级规模和功能配置。</w:t>
      </w:r>
    </w:p>
    <w:p>
      <w:pPr>
        <w:adjustRightInd w:val="0"/>
        <w:snapToGrid w:val="0"/>
        <w:spacing w:line="560" w:lineRule="exact"/>
        <w:ind w:firstLine="643"/>
        <w:rPr>
          <w:rFonts w:ascii="仿宋_GB2312" w:hAnsi="仿宋_GB2312" w:eastAsia="仿宋_GB2312" w:cs="仿宋_GB2312"/>
          <w:szCs w:val="32"/>
          <w:highlight w:val="none"/>
        </w:rPr>
      </w:pPr>
      <w:bookmarkStart w:id="72" w:name="_Toc373308472"/>
      <w:r>
        <w:rPr>
          <w:rFonts w:hint="eastAsia" w:ascii="仿宋_GB2312" w:hAnsi="仿宋_GB2312" w:eastAsia="仿宋_GB2312" w:cs="仿宋_GB2312"/>
          <w:b/>
          <w:szCs w:val="32"/>
        </w:rPr>
        <w:t>——分类指导、体现特色</w:t>
      </w:r>
      <w:bookmarkEnd w:id="72"/>
      <w:r>
        <w:rPr>
          <w:rFonts w:hint="eastAsia" w:ascii="仿宋_GB2312" w:hAnsi="仿宋_GB2312" w:eastAsia="仿宋_GB2312" w:cs="仿宋_GB2312"/>
          <w:b/>
          <w:szCs w:val="32"/>
        </w:rPr>
        <w:t>。</w:t>
      </w:r>
      <w:r>
        <w:rPr>
          <w:rFonts w:hint="eastAsia" w:ascii="仿宋_GB2312" w:hAnsi="仿宋_GB2312" w:eastAsia="仿宋_GB2312" w:cs="仿宋_GB2312"/>
          <w:szCs w:val="32"/>
        </w:rPr>
        <w:t>根据服务区地理区位、资源优势、营运需求等因素，对服务区进行分类，因地制宜拓展服务功能，打造特色服</w:t>
      </w:r>
      <w:r>
        <w:rPr>
          <w:rFonts w:hint="eastAsia" w:ascii="仿宋_GB2312" w:hAnsi="仿宋_GB2312" w:eastAsia="仿宋_GB2312" w:cs="仿宋_GB2312"/>
          <w:szCs w:val="32"/>
          <w:highlight w:val="none"/>
        </w:rPr>
        <w:t>务区，支撑沿线地区经济产业发展。</w:t>
      </w:r>
    </w:p>
    <w:p>
      <w:pPr>
        <w:adjustRightInd w:val="0"/>
        <w:snapToGrid w:val="0"/>
        <w:spacing w:line="560" w:lineRule="exact"/>
        <w:ind w:firstLine="643"/>
        <w:rPr>
          <w:rFonts w:ascii="仿宋_GB2312" w:hAnsi="仿宋_GB2312" w:eastAsia="仿宋_GB2312" w:cs="仿宋_GB2312"/>
          <w:szCs w:val="32"/>
        </w:rPr>
      </w:pPr>
      <w:bookmarkStart w:id="73" w:name="_Toc373308474"/>
      <w:r>
        <w:rPr>
          <w:rFonts w:hint="eastAsia" w:ascii="仿宋_GB2312" w:hAnsi="仿宋_GB2312" w:eastAsia="仿宋_GB2312" w:cs="仿宋_GB2312"/>
          <w:b/>
          <w:szCs w:val="32"/>
        </w:rPr>
        <w:t>——强化监管、科学发展</w:t>
      </w:r>
      <w:bookmarkEnd w:id="73"/>
      <w:r>
        <w:rPr>
          <w:rFonts w:hint="eastAsia" w:ascii="仿宋_GB2312" w:hAnsi="仿宋_GB2312" w:eastAsia="仿宋_GB2312" w:cs="仿宋_GB2312"/>
          <w:b/>
          <w:szCs w:val="32"/>
        </w:rPr>
        <w:t>。</w:t>
      </w:r>
      <w:r>
        <w:rPr>
          <w:rFonts w:hint="eastAsia" w:ascii="仿宋_GB2312" w:hAnsi="仿宋_GB2312" w:eastAsia="仿宋_GB2312" w:cs="仿宋_GB2312"/>
          <w:szCs w:val="32"/>
        </w:rPr>
        <w:t>健全管理体系，加强营运监管，提升服务区建设及营运管理水平，实现服务区健康、可持续发展。</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74" w:name="_Toc23493"/>
      <w:bookmarkStart w:id="75" w:name="_Toc17006"/>
      <w:bookmarkStart w:id="76" w:name="_Toc23094"/>
      <w:bookmarkStart w:id="77" w:name="_Toc30588"/>
      <w:bookmarkStart w:id="78" w:name="_Toc40436072"/>
      <w:bookmarkStart w:id="79" w:name="_Toc4570"/>
      <w:bookmarkStart w:id="80" w:name="_Toc15088"/>
      <w:bookmarkStart w:id="81" w:name="_Toc22799"/>
      <w:bookmarkStart w:id="82" w:name="_Toc16651"/>
      <w:r>
        <w:rPr>
          <w:rFonts w:hint="eastAsia" w:ascii="楷体_GB2312" w:hAnsi="楷体_GB2312" w:eastAsia="楷体_GB2312" w:cs="楷体_GB2312"/>
        </w:rPr>
        <w:t>（三）规划目标</w:t>
      </w:r>
      <w:bookmarkEnd w:id="74"/>
      <w:bookmarkEnd w:id="75"/>
      <w:bookmarkEnd w:id="76"/>
      <w:bookmarkEnd w:id="77"/>
      <w:bookmarkEnd w:id="78"/>
      <w:bookmarkEnd w:id="79"/>
      <w:bookmarkEnd w:id="80"/>
      <w:bookmarkEnd w:id="81"/>
      <w:bookmarkEnd w:id="82"/>
    </w:p>
    <w:p>
      <w:pPr>
        <w:adjustRightInd w:val="0"/>
        <w:snapToGrid w:val="0"/>
        <w:spacing w:line="56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总体目标：</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规划至2035年，我省将建成布局合理、功能完善、服务优质、特色鲜明、环境和谐的高速公路服务区系统。</w:t>
      </w:r>
      <w:bookmarkEnd w:id="9"/>
      <w:bookmarkEnd w:id="60"/>
    </w:p>
    <w:p>
      <w:pPr>
        <w:adjustRightInd w:val="0"/>
        <w:snapToGrid w:val="0"/>
        <w:spacing w:line="56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近期（2020-2025年）：</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至2025年，现有高速公路服务区间距偏大、规模不足等问题基本得到解决。在建和新建高速公路的服务区实现与高速公路主体工程同步建设，同步开通营运。</w:t>
      </w:r>
      <w:r>
        <w:rPr>
          <w:rFonts w:hint="eastAsia" w:ascii="仿宋_GB2312" w:hAnsi="仿宋_GB2312" w:eastAsia="仿宋_GB2312" w:cs="仿宋_GB2312"/>
          <w:szCs w:val="32"/>
          <w:lang w:val="en-US" w:eastAsia="zh-CN"/>
        </w:rPr>
        <w:t>已建和规划建设高速公路服务区实现充电设施全覆盖。</w:t>
      </w:r>
      <w:r>
        <w:rPr>
          <w:rFonts w:hint="eastAsia" w:ascii="仿宋_GB2312" w:hAnsi="仿宋_GB2312" w:eastAsia="仿宋_GB2312" w:cs="仿宋_GB2312"/>
          <w:szCs w:val="32"/>
        </w:rPr>
        <w:t>打造具有示范效应的特色功能服务区和优质品质服务区，完成若干个特色优质示范服务区建设。推动智慧服务区建设。</w:t>
      </w:r>
    </w:p>
    <w:p>
      <w:pPr>
        <w:adjustRightInd w:val="0"/>
        <w:snapToGrid w:val="0"/>
        <w:spacing w:line="56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中远期（2026-2035年）：</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至2035年，完成规划新建服务区建设，形成与高速公路网络相匹配的服务区体系。完成现有服务区的升级改造，优化服务区设施配置，提升服务区服务功能。完成规划的特色拓展功能服务区建设，满足司乘人员多元化、个性化需求，打造成为地方历史文化和产业特色的展示窗口。大力推进优质品质服务区建设，服务区服务水平大幅提升，满足人民群众出行服务品质化需求。全面推进高速公路服务区信息化建设，打造现代智慧服务区。</w:t>
      </w:r>
    </w:p>
    <w:p>
      <w:pPr>
        <w:pStyle w:val="2"/>
        <w:adjustRightInd w:val="0"/>
        <w:snapToGrid w:val="0"/>
        <w:spacing w:before="0" w:after="0" w:line="560" w:lineRule="exact"/>
        <w:ind w:firstLine="640" w:firstLineChars="200"/>
        <w:rPr>
          <w:rFonts w:ascii="黑体" w:hAnsi="黑体" w:cs="黑体"/>
          <w:b w:val="0"/>
          <w:bCs w:val="0"/>
          <w:szCs w:val="32"/>
        </w:rPr>
      </w:pPr>
      <w:bookmarkStart w:id="83" w:name="_Toc491851846"/>
      <w:bookmarkStart w:id="84" w:name="_Toc26631"/>
      <w:bookmarkStart w:id="85" w:name="_Toc22972"/>
      <w:bookmarkStart w:id="86" w:name="_Toc84"/>
      <w:bookmarkStart w:id="87" w:name="_Toc29718"/>
      <w:bookmarkStart w:id="88" w:name="_Toc22337"/>
      <w:bookmarkStart w:id="89" w:name="_Toc26519"/>
      <w:bookmarkStart w:id="90" w:name="_Toc14323"/>
      <w:bookmarkStart w:id="91" w:name="_Toc40436073"/>
      <w:bookmarkStart w:id="92" w:name="_Toc12661"/>
      <w:r>
        <w:rPr>
          <w:rFonts w:hint="eastAsia" w:ascii="黑体" w:hAnsi="黑体" w:cs="黑体"/>
          <w:b w:val="0"/>
          <w:bCs w:val="0"/>
          <w:szCs w:val="32"/>
        </w:rPr>
        <w:t>三、</w:t>
      </w:r>
      <w:bookmarkEnd w:id="83"/>
      <w:bookmarkStart w:id="93" w:name="_Toc491851849"/>
      <w:r>
        <w:rPr>
          <w:rFonts w:hint="eastAsia" w:ascii="黑体" w:hAnsi="黑体" w:cs="黑体"/>
          <w:b w:val="0"/>
          <w:bCs w:val="0"/>
          <w:szCs w:val="32"/>
        </w:rPr>
        <w:t>布局</w:t>
      </w:r>
      <w:bookmarkEnd w:id="93"/>
      <w:r>
        <w:rPr>
          <w:rFonts w:hint="eastAsia" w:ascii="黑体" w:hAnsi="黑体" w:cs="黑体"/>
          <w:b w:val="0"/>
          <w:bCs w:val="0"/>
          <w:szCs w:val="32"/>
        </w:rPr>
        <w:t>方案</w:t>
      </w:r>
      <w:bookmarkEnd w:id="84"/>
      <w:bookmarkEnd w:id="85"/>
      <w:bookmarkEnd w:id="86"/>
      <w:bookmarkEnd w:id="87"/>
      <w:bookmarkEnd w:id="88"/>
      <w:bookmarkEnd w:id="89"/>
      <w:bookmarkEnd w:id="90"/>
      <w:bookmarkEnd w:id="91"/>
      <w:bookmarkEnd w:id="92"/>
    </w:p>
    <w:p>
      <w:pPr>
        <w:pStyle w:val="3"/>
        <w:adjustRightInd w:val="0"/>
        <w:snapToGrid w:val="0"/>
        <w:spacing w:before="0" w:after="0" w:line="560" w:lineRule="exact"/>
        <w:ind w:firstLine="643" w:firstLineChars="200"/>
        <w:rPr>
          <w:rFonts w:ascii="楷体_GB2312" w:hAnsi="楷体_GB2312" w:eastAsia="楷体_GB2312" w:cs="楷体_GB2312"/>
        </w:rPr>
      </w:pPr>
      <w:bookmarkStart w:id="94" w:name="_Toc491851847"/>
      <w:bookmarkStart w:id="95" w:name="_Toc9853"/>
      <w:bookmarkStart w:id="96" w:name="_Toc3490"/>
      <w:bookmarkStart w:id="97" w:name="_Toc10018"/>
      <w:bookmarkStart w:id="98" w:name="_Toc20569"/>
      <w:bookmarkStart w:id="99" w:name="_Toc18790"/>
      <w:bookmarkStart w:id="100" w:name="_Toc23922"/>
      <w:bookmarkStart w:id="101" w:name="_Toc40436074"/>
      <w:bookmarkStart w:id="102" w:name="_Toc24705"/>
      <w:bookmarkStart w:id="103" w:name="_Toc14546"/>
      <w:r>
        <w:rPr>
          <w:rFonts w:hint="eastAsia" w:ascii="楷体_GB2312" w:hAnsi="楷体_GB2312" w:eastAsia="楷体_GB2312" w:cs="楷体_GB2312"/>
        </w:rPr>
        <w:t>（一）等级分类</w:t>
      </w:r>
      <w:bookmarkEnd w:id="94"/>
      <w:bookmarkEnd w:id="95"/>
      <w:bookmarkEnd w:id="96"/>
      <w:bookmarkEnd w:id="97"/>
      <w:bookmarkEnd w:id="98"/>
      <w:bookmarkEnd w:id="99"/>
      <w:bookmarkEnd w:id="100"/>
      <w:bookmarkEnd w:id="101"/>
      <w:bookmarkEnd w:id="102"/>
      <w:bookmarkEnd w:id="103"/>
    </w:p>
    <w:p>
      <w:pPr>
        <w:adjustRightInd w:val="0"/>
        <w:snapToGrid w:val="0"/>
        <w:spacing w:line="560" w:lineRule="exact"/>
        <w:ind w:firstLine="640"/>
        <w:rPr>
          <w:rFonts w:ascii="仿宋_GB2312" w:hAnsi="仿宋_GB2312" w:eastAsia="仿宋_GB2312" w:cs="仿宋_GB2312"/>
          <w:szCs w:val="32"/>
        </w:rPr>
      </w:pPr>
      <w:bookmarkStart w:id="104" w:name="_Toc491851848"/>
      <w:r>
        <w:rPr>
          <w:rFonts w:hint="eastAsia" w:ascii="仿宋_GB2312" w:hAnsi="仿宋_GB2312" w:eastAsia="仿宋_GB2312" w:cs="仿宋_GB2312"/>
          <w:szCs w:val="32"/>
        </w:rPr>
        <w:t>我省高速公路服务区根据功能分为I类服务区、II类服务区和III类服务区（含停车区）。</w:t>
      </w:r>
    </w:p>
    <w:p>
      <w:pPr>
        <w:adjustRightInd w:val="0"/>
        <w:snapToGrid w:val="0"/>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1.I类服务区</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提供全功能服务。一般设置停车、如厕、加油、餐饮、住宿、医疗救助、车辆保养维修等设施。根据服务区所处的地理位置和路段情况，可建设旅游休闲（含房车营地）、商务会议、物流仓储、商业综合体等设施。</w:t>
      </w:r>
    </w:p>
    <w:p>
      <w:pPr>
        <w:adjustRightInd w:val="0"/>
        <w:snapToGrid w:val="0"/>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2.II类服务区</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提供多功能服务。一般设置停车、如厕、加油、餐饮、便利店等设施。</w:t>
      </w:r>
    </w:p>
    <w:p>
      <w:pPr>
        <w:adjustRightInd w:val="0"/>
        <w:snapToGrid w:val="0"/>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3.Ⅲ类服务区（含停车区）</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提供基础功能服务。一般设置在I类、II类服务区之间，主要设置停车、如厕、便利店等服务设施，可根据具体情况设置加油设施。</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105" w:name="_Toc2689"/>
      <w:bookmarkStart w:id="106" w:name="_Toc12829"/>
      <w:bookmarkStart w:id="107" w:name="_Toc40436075"/>
      <w:bookmarkStart w:id="108" w:name="_Toc9634"/>
      <w:bookmarkStart w:id="109" w:name="_Toc4928"/>
      <w:bookmarkStart w:id="110" w:name="_Toc29519"/>
      <w:bookmarkStart w:id="111" w:name="_Toc32274"/>
      <w:bookmarkStart w:id="112" w:name="_Toc4463"/>
      <w:bookmarkStart w:id="113" w:name="_Toc4952"/>
      <w:r>
        <w:rPr>
          <w:rFonts w:hint="eastAsia" w:ascii="楷体_GB2312" w:hAnsi="楷体_GB2312" w:eastAsia="楷体_GB2312" w:cs="楷体_GB2312"/>
        </w:rPr>
        <w:t>（二）功能配置</w:t>
      </w:r>
      <w:bookmarkEnd w:id="104"/>
      <w:bookmarkEnd w:id="105"/>
      <w:bookmarkEnd w:id="106"/>
      <w:bookmarkEnd w:id="107"/>
      <w:bookmarkEnd w:id="108"/>
      <w:bookmarkEnd w:id="109"/>
      <w:bookmarkEnd w:id="110"/>
      <w:bookmarkEnd w:id="111"/>
      <w:bookmarkEnd w:id="112"/>
      <w:bookmarkEnd w:id="113"/>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服务区基本功能设施主要包括停车场、加油站、公共卫生间、第三卫生间、母婴室、室内外休息区、餐厅、商品零售点、便利店、超市、充电桩、加气站、汽车维修点、住宿区、医疗救护站等。拓展功能设施主要包括旅游、物流、商贸、娱乐休闲、展览展销中心等。</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114" w:name="_Toc10156"/>
      <w:bookmarkStart w:id="115" w:name="_Toc16036"/>
      <w:bookmarkStart w:id="116" w:name="_Toc40436076"/>
      <w:bookmarkStart w:id="117" w:name="_Toc6038"/>
      <w:bookmarkStart w:id="118" w:name="_Toc870"/>
      <w:bookmarkStart w:id="119" w:name="_Toc32571"/>
      <w:bookmarkStart w:id="120" w:name="_Toc24185"/>
      <w:bookmarkStart w:id="121" w:name="_Toc21591"/>
      <w:bookmarkStart w:id="122" w:name="_Toc673"/>
      <w:r>
        <w:rPr>
          <w:rFonts w:hint="eastAsia" w:ascii="楷体_GB2312" w:hAnsi="楷体_GB2312" w:eastAsia="楷体_GB2312" w:cs="楷体_GB2312"/>
        </w:rPr>
        <w:t>（三）服务区平均间距</w:t>
      </w:r>
      <w:bookmarkEnd w:id="114"/>
      <w:bookmarkEnd w:id="115"/>
      <w:bookmarkEnd w:id="116"/>
      <w:bookmarkEnd w:id="117"/>
      <w:bookmarkEnd w:id="118"/>
      <w:bookmarkEnd w:id="119"/>
      <w:bookmarkEnd w:id="120"/>
      <w:bookmarkEnd w:id="121"/>
      <w:bookmarkEnd w:id="122"/>
    </w:p>
    <w:p>
      <w:pPr>
        <w:adjustRightInd w:val="0"/>
        <w:snapToGrid w:val="0"/>
        <w:spacing w:line="560" w:lineRule="exact"/>
        <w:ind w:firstLine="640"/>
        <w:rPr>
          <w:rFonts w:ascii="仿宋_GB2312" w:hAnsi="仿宋_GB2312" w:eastAsia="仿宋_GB2312" w:cs="仿宋_GB2312"/>
          <w:szCs w:val="32"/>
        </w:rPr>
      </w:pPr>
      <w:bookmarkStart w:id="123" w:name="_Hlk513640789"/>
      <w:r>
        <w:rPr>
          <w:rFonts w:hint="eastAsia" w:ascii="仿宋_GB2312" w:hAnsi="仿宋_GB2312" w:eastAsia="仿宋_GB2312" w:cs="仿宋_GB2312"/>
          <w:szCs w:val="32"/>
        </w:rPr>
        <w:t>根据交通量差异，全省以I类、II类服务区平均间距不超45公里，I类、II类、III类服务区（含停车区）平均间距不超25公里展开布局。</w:t>
      </w:r>
      <w:bookmarkEnd w:id="123"/>
    </w:p>
    <w:p>
      <w:pPr>
        <w:pStyle w:val="3"/>
        <w:adjustRightInd w:val="0"/>
        <w:snapToGrid w:val="0"/>
        <w:spacing w:before="0" w:after="0" w:line="560" w:lineRule="exact"/>
        <w:ind w:firstLine="643" w:firstLineChars="200"/>
        <w:rPr>
          <w:rFonts w:ascii="楷体_GB2312" w:hAnsi="楷体_GB2312" w:eastAsia="楷体_GB2312" w:cs="楷体_GB2312"/>
        </w:rPr>
      </w:pPr>
      <w:bookmarkStart w:id="124" w:name="_Toc11316"/>
      <w:bookmarkStart w:id="125" w:name="_Toc19241"/>
      <w:bookmarkStart w:id="126" w:name="_Toc7217"/>
      <w:bookmarkStart w:id="127" w:name="_Toc25039"/>
      <w:bookmarkStart w:id="128" w:name="_Toc9034"/>
      <w:bookmarkStart w:id="129" w:name="_Toc30329"/>
      <w:bookmarkStart w:id="130" w:name="_Toc24223"/>
      <w:bookmarkStart w:id="131" w:name="_Toc40436077"/>
      <w:bookmarkStart w:id="132" w:name="_Toc1575"/>
      <w:r>
        <w:rPr>
          <w:rFonts w:hint="eastAsia" w:ascii="楷体_GB2312" w:hAnsi="楷体_GB2312" w:eastAsia="楷体_GB2312" w:cs="楷体_GB2312"/>
        </w:rPr>
        <w:t>（四）用地规模</w:t>
      </w:r>
      <w:bookmarkEnd w:id="124"/>
      <w:bookmarkEnd w:id="125"/>
      <w:bookmarkEnd w:id="126"/>
      <w:bookmarkEnd w:id="127"/>
      <w:bookmarkEnd w:id="128"/>
      <w:bookmarkEnd w:id="129"/>
      <w:bookmarkEnd w:id="130"/>
      <w:bookmarkEnd w:id="131"/>
      <w:bookmarkEnd w:id="132"/>
    </w:p>
    <w:p>
      <w:pPr>
        <w:adjustRightInd w:val="0"/>
        <w:snapToGrid w:val="0"/>
        <w:spacing w:line="560" w:lineRule="exact"/>
        <w:ind w:firstLine="640"/>
        <w:rPr>
          <w:rFonts w:ascii="仿宋_GB2312" w:hAnsi="仿宋_GB2312" w:eastAsia="仿宋_GB2312" w:cs="仿宋_GB2312"/>
          <w:color w:val="FF0000"/>
          <w:szCs w:val="32"/>
          <w:highlight w:val="yellow"/>
        </w:rPr>
      </w:pPr>
      <w:r>
        <w:rPr>
          <w:rFonts w:hint="eastAsia" w:ascii="仿宋_GB2312" w:hAnsi="仿宋_GB2312" w:eastAsia="仿宋_GB2312" w:cs="仿宋_GB2312"/>
          <w:szCs w:val="32"/>
        </w:rPr>
        <w:t>按照《公路工程项目建设用地指标（〔2011〕124号）》《高速公路交通工程及沿线设施设计通用规范》（JTG D80—2006）和《广东省高速公路服务设施设计和验收指南》相关规定，服务区基本功能用地面积由基本设施面积和其他设施面积组成。其中，基本设施面积一般包含停车场、厕所、餐厅面积；其他设施面积以基本设施面积作为计算基础，根据其与基本设施的关系确定。</w:t>
      </w:r>
    </w:p>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广东省高速公路服务区基本功能用地面积推荐值</w:t>
      </w:r>
    </w:p>
    <w:tbl>
      <w:tblPr>
        <w:tblStyle w:val="26"/>
        <w:tblW w:w="7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2407"/>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shd w:val="clear" w:color="auto" w:fill="auto"/>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服务区类型</w:t>
            </w:r>
          </w:p>
        </w:tc>
        <w:tc>
          <w:tcPr>
            <w:tcW w:w="2407" w:type="dxa"/>
            <w:shd w:val="clear" w:color="auto" w:fill="auto"/>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用地面积</w:t>
            </w:r>
          </w:p>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（亩/处）</w:t>
            </w:r>
          </w:p>
        </w:tc>
        <w:tc>
          <w:tcPr>
            <w:tcW w:w="2393" w:type="dxa"/>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建筑面积</w:t>
            </w:r>
          </w:p>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3018"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bookmarkStart w:id="133" w:name="_Hlk496781312"/>
            <w:r>
              <w:rPr>
                <w:rFonts w:hint="eastAsia" w:ascii="仿宋_GB2312" w:hAnsi="仿宋_GB2312" w:eastAsia="仿宋_GB2312" w:cs="仿宋_GB2312"/>
                <w:szCs w:val="32"/>
              </w:rPr>
              <w:t>I类服务区</w:t>
            </w:r>
            <w:bookmarkEnd w:id="133"/>
          </w:p>
        </w:tc>
        <w:tc>
          <w:tcPr>
            <w:tcW w:w="2407"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120-300</w:t>
            </w:r>
          </w:p>
        </w:tc>
        <w:tc>
          <w:tcPr>
            <w:tcW w:w="2393" w:type="dxa"/>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8000-46000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018"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II类服务区</w:t>
            </w:r>
          </w:p>
        </w:tc>
        <w:tc>
          <w:tcPr>
            <w:tcW w:w="2407"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60-120</w:t>
            </w:r>
          </w:p>
        </w:tc>
        <w:tc>
          <w:tcPr>
            <w:tcW w:w="2393" w:type="dxa"/>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4500-10000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018"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III类服务区</w:t>
            </w:r>
          </w:p>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（含停车区）</w:t>
            </w:r>
          </w:p>
        </w:tc>
        <w:tc>
          <w:tcPr>
            <w:tcW w:w="2407" w:type="dxa"/>
            <w:shd w:val="clear" w:color="auto" w:fill="auto"/>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15-60</w:t>
            </w:r>
          </w:p>
        </w:tc>
        <w:tc>
          <w:tcPr>
            <w:tcW w:w="2393" w:type="dxa"/>
            <w:vAlign w:val="center"/>
          </w:tcPr>
          <w:p>
            <w:pPr>
              <w:adjustRightInd w:val="0"/>
              <w:snapToGrid w:val="0"/>
              <w:spacing w:line="560" w:lineRule="exact"/>
              <w:ind w:firstLine="0" w:firstLineChars="0"/>
              <w:jc w:val="center"/>
              <w:rPr>
                <w:rFonts w:ascii="仿宋_GB2312" w:hAnsi="仿宋_GB2312" w:eastAsia="仿宋_GB2312" w:cs="仿宋_GB2312"/>
                <w:szCs w:val="32"/>
              </w:rPr>
            </w:pPr>
            <w:r>
              <w:rPr>
                <w:rFonts w:hint="eastAsia" w:ascii="仿宋_GB2312" w:hAnsi="仿宋_GB2312" w:eastAsia="仿宋_GB2312" w:cs="仿宋_GB2312"/>
                <w:szCs w:val="32"/>
              </w:rPr>
              <w:t>1000-4500</w:t>
            </w:r>
          </w:p>
        </w:tc>
      </w:tr>
    </w:tbl>
    <w:p>
      <w:pPr>
        <w:adjustRightInd w:val="0"/>
        <w:snapToGrid w:val="0"/>
        <w:spacing w:line="560" w:lineRule="exact"/>
        <w:ind w:firstLine="640"/>
        <w:rPr>
          <w:rFonts w:ascii="仿宋_GB2312" w:hAnsi="仿宋_GB2312" w:eastAsia="仿宋_GB2312" w:cs="仿宋_GB2312"/>
          <w:szCs w:val="32"/>
        </w:rPr>
      </w:pPr>
      <w:bookmarkStart w:id="134" w:name="_Toc29615"/>
      <w:r>
        <w:rPr>
          <w:rFonts w:hint="eastAsia" w:ascii="仿宋_GB2312" w:hAnsi="仿宋_GB2312" w:eastAsia="仿宋_GB2312" w:cs="仿宋_GB2312"/>
          <w:szCs w:val="32"/>
        </w:rPr>
        <w:t>在用地条件紧张的情况下，应优先保障停车场、公共卫生间等基本服务功能用地，停车场、公共卫生间、餐厅、加油站等公共设施用地之和占服务区基本功能用地面积的比例应不低于85%。同一路段设置有多个服务区，应重点保证断面交通量大、驶入率高、邻近大中型城市或交通枢纽的服务设施的用地规模。</w:t>
      </w:r>
      <w:bookmarkEnd w:id="134"/>
      <w:bookmarkStart w:id="135" w:name="_Toc40436078"/>
    </w:p>
    <w:p>
      <w:pPr>
        <w:adjustRightInd w:val="0"/>
        <w:snapToGrid w:val="0"/>
        <w:spacing w:line="560" w:lineRule="exact"/>
        <w:ind w:firstLine="640"/>
        <w:rPr>
          <w:rFonts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szCs w:val="32"/>
        </w:rPr>
        <w:t>服务区拓展功能用地可按照</w:t>
      </w:r>
      <w:r>
        <w:rPr>
          <w:rFonts w:hint="eastAsia" w:ascii="仿宋_GB2312" w:hAnsi="仿宋_GB2312" w:eastAsia="仿宋_GB2312" w:cs="仿宋_GB2312"/>
          <w:color w:val="000000" w:themeColor="text1"/>
          <w:szCs w:val="32"/>
          <w14:textFill>
            <w14:solidFill>
              <w14:schemeClr w14:val="tx1"/>
            </w14:solidFill>
          </w14:textFill>
        </w:rPr>
        <w:t>经营性用地出让方式解决。</w:t>
      </w:r>
    </w:p>
    <w:p>
      <w:pPr>
        <w:adjustRightInd w:val="0"/>
        <w:snapToGrid w:val="0"/>
        <w:spacing w:line="560" w:lineRule="exact"/>
        <w:ind w:firstLine="640"/>
        <w:rPr>
          <w:rFonts w:ascii="仿宋_GB2312" w:hAnsi="仿宋_GB2312" w:eastAsia="仿宋_GB2312" w:cs="仿宋_GB2312"/>
          <w:szCs w:val="32"/>
        </w:rPr>
      </w:pPr>
    </w:p>
    <w:p>
      <w:pPr>
        <w:pStyle w:val="3"/>
        <w:adjustRightInd w:val="0"/>
        <w:snapToGrid w:val="0"/>
        <w:spacing w:before="0" w:after="0" w:line="560" w:lineRule="exact"/>
        <w:ind w:firstLine="643" w:firstLineChars="200"/>
        <w:rPr>
          <w:rFonts w:ascii="楷体_GB2312" w:hAnsi="楷体_GB2312" w:eastAsia="楷体_GB2312" w:cs="楷体_GB2312"/>
        </w:rPr>
      </w:pPr>
      <w:bookmarkStart w:id="136" w:name="_Toc21526"/>
      <w:bookmarkStart w:id="137" w:name="_Toc21548"/>
      <w:bookmarkStart w:id="138" w:name="_Toc5325"/>
      <w:bookmarkStart w:id="139" w:name="_Toc3511"/>
      <w:bookmarkStart w:id="140" w:name="_Toc7990"/>
      <w:bookmarkStart w:id="141" w:name="_Toc922"/>
      <w:bookmarkStart w:id="142" w:name="_Toc21404"/>
      <w:bookmarkStart w:id="143" w:name="_Toc23972"/>
      <w:r>
        <w:rPr>
          <w:rFonts w:hint="eastAsia" w:ascii="楷体_GB2312" w:hAnsi="楷体_GB2312" w:eastAsia="楷体_GB2312" w:cs="楷体_GB2312"/>
        </w:rPr>
        <w:t>（五）布局方案</w:t>
      </w:r>
      <w:bookmarkEnd w:id="135"/>
      <w:bookmarkEnd w:id="136"/>
      <w:bookmarkEnd w:id="137"/>
      <w:bookmarkEnd w:id="138"/>
      <w:bookmarkEnd w:id="139"/>
      <w:bookmarkEnd w:id="140"/>
      <w:bookmarkEnd w:id="141"/>
      <w:bookmarkEnd w:id="142"/>
      <w:bookmarkEnd w:id="143"/>
    </w:p>
    <w:p>
      <w:pPr>
        <w:adjustRightInd w:val="0"/>
        <w:snapToGrid w:val="0"/>
        <w:spacing w:line="560" w:lineRule="exact"/>
        <w:ind w:firstLine="640"/>
        <w:rPr>
          <w:rFonts w:ascii="Times New Roman" w:hAnsi="Times New Roman" w:eastAsia="仿宋_GB2312" w:cs="Times New Roman"/>
        </w:rPr>
      </w:pPr>
      <w:r>
        <w:rPr>
          <w:rFonts w:hint="eastAsia" w:ascii="Times New Roman" w:hAnsi="Times New Roman" w:eastAsia="仿宋_GB2312" w:cs="Times New Roman"/>
        </w:rPr>
        <w:t>至2035年，全省规划布局高速公路服务区618对，包含I类服务区139对、II类服务区213对、III类服务区（含停车区）266对。其中：保留现状服务区124对，取消现状服务区3对，改造或重建现状服务区86对，规划新增服务区408对</w:t>
      </w:r>
      <w:r>
        <w:rPr>
          <w:rFonts w:hint="eastAsia" w:ascii="Times New Roman" w:hAnsi="Times New Roman" w:eastAsia="仿宋_GB2312" w:cs="Times New Roman"/>
          <w:lang w:eastAsia="zh-CN"/>
        </w:rPr>
        <w:t>。</w:t>
      </w:r>
    </w:p>
    <w:p>
      <w:pPr>
        <w:adjustRightInd w:val="0"/>
        <w:snapToGrid w:val="0"/>
        <w:spacing w:line="560" w:lineRule="exact"/>
        <w:ind w:firstLine="640"/>
        <w:rPr>
          <w:rFonts w:ascii="Times New Roman" w:hAnsi="Times New Roman" w:eastAsia="仿宋_GB2312" w:cs="Times New Roman"/>
        </w:rPr>
      </w:pPr>
      <w:r>
        <w:rPr>
          <w:rFonts w:hint="eastAsia" w:ascii="Times New Roman" w:hAnsi="Times New Roman" w:eastAsia="仿宋_GB2312" w:cs="Times New Roman"/>
        </w:rPr>
        <w:t>此外，结合《广东省高速公路网规划（2020-2035年）》中规划的远景展望线，远景规划新增服务区41对。</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144" w:name="_Toc6484"/>
      <w:bookmarkStart w:id="145" w:name="_Toc32566"/>
      <w:bookmarkStart w:id="146" w:name="_Toc21069"/>
      <w:bookmarkStart w:id="147" w:name="_Toc4360"/>
      <w:bookmarkStart w:id="148" w:name="_Toc19833"/>
      <w:bookmarkStart w:id="149" w:name="_Toc9020"/>
      <w:bookmarkStart w:id="150" w:name="_Toc8399"/>
      <w:bookmarkStart w:id="151" w:name="_Toc28269"/>
      <w:r>
        <w:rPr>
          <w:rFonts w:hint="eastAsia" w:ascii="楷体_GB2312" w:hAnsi="楷体_GB2312" w:eastAsia="楷体_GB2312" w:cs="楷体_GB2312"/>
        </w:rPr>
        <w:t>（六）</w:t>
      </w:r>
      <w:bookmarkStart w:id="152" w:name="_Toc40436079"/>
      <w:r>
        <w:rPr>
          <w:rFonts w:hint="eastAsia" w:ascii="楷体_GB2312" w:hAnsi="楷体_GB2312" w:eastAsia="楷体_GB2312" w:cs="楷体_GB2312"/>
        </w:rPr>
        <w:t>布局效果</w:t>
      </w:r>
      <w:bookmarkEnd w:id="144"/>
      <w:bookmarkEnd w:id="145"/>
      <w:bookmarkEnd w:id="146"/>
      <w:bookmarkEnd w:id="147"/>
      <w:bookmarkEnd w:id="148"/>
      <w:bookmarkEnd w:id="149"/>
      <w:bookmarkEnd w:id="150"/>
      <w:bookmarkEnd w:id="151"/>
      <w:bookmarkEnd w:id="152"/>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1.平均间距大幅缩短。至</w:t>
      </w:r>
      <w:r>
        <w:rPr>
          <w:rFonts w:hint="eastAsia" w:ascii="仿宋_GB2312" w:hAnsi="仿宋_GB2312" w:eastAsia="仿宋_GB2312" w:cs="仿宋_GB2312"/>
          <w:szCs w:val="32"/>
        </w:rPr>
        <w:t>2035年，服务区平均间距为24.3公里，间距缩短近一倍；密度为4.1对/百公里，每百公里增加1.7对。其中，I类、II类服务区平均间距为44.8公里，缩短13.7公里；密度为2.2对/百公里，每百公里增加0.5对。实现所有服务区间距不超过25公里，所有I类、II类服务区间距不超过45公里。</w:t>
      </w:r>
    </w:p>
    <w:p>
      <w:pPr>
        <w:adjustRightInd w:val="0"/>
        <w:snapToGrid w:val="0"/>
        <w:spacing w:line="560" w:lineRule="exact"/>
        <w:ind w:firstLine="643"/>
        <w:rPr>
          <w:rFonts w:ascii="仿宋_GB2312" w:hAnsi="仿宋_GB2312" w:eastAsia="仿宋_GB2312" w:cs="仿宋_GB2312"/>
          <w:color w:val="000000"/>
          <w:szCs w:val="32"/>
        </w:rPr>
      </w:pPr>
      <w:r>
        <w:rPr>
          <w:rFonts w:hint="eastAsia" w:ascii="仿宋_GB2312" w:hAnsi="仿宋_GB2312" w:eastAsia="仿宋_GB2312" w:cs="仿宋_GB2312"/>
          <w:b/>
          <w:bCs/>
          <w:szCs w:val="32"/>
        </w:rPr>
        <w:t>2.布局更加合理。</w:t>
      </w:r>
      <w:r>
        <w:rPr>
          <w:rFonts w:hint="eastAsia" w:ascii="仿宋_GB2312" w:hAnsi="仿宋_GB2312" w:eastAsia="仿宋_GB2312" w:cs="仿宋_GB2312"/>
          <w:szCs w:val="32"/>
        </w:rPr>
        <w:t>主要通道、大中城市周边、省界、旅游目的地、产业聚集地附近均设置了I类服务区。共规划I类服务区13</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对，</w:t>
      </w:r>
      <w:r>
        <w:rPr>
          <w:rFonts w:hint="eastAsia" w:ascii="仿宋_GB2312" w:hAnsi="仿宋_GB2312" w:eastAsia="仿宋_GB2312" w:cs="仿宋_GB2312"/>
          <w:color w:val="000000"/>
          <w:szCs w:val="32"/>
        </w:rPr>
        <w:t>平均间距109公里。</w:t>
      </w:r>
    </w:p>
    <w:p>
      <w:pPr>
        <w:adjustRightInd w:val="0"/>
        <w:snapToGrid w:val="0"/>
        <w:spacing w:line="560" w:lineRule="exact"/>
        <w:ind w:firstLine="643"/>
        <w:rPr>
          <w:rFonts w:ascii="仿宋_GB2312" w:hAnsi="仿宋_GB2312" w:eastAsia="仿宋_GB2312" w:cs="仿宋_GB2312"/>
          <w:bCs/>
          <w:szCs w:val="32"/>
        </w:rPr>
      </w:pPr>
      <w:r>
        <w:rPr>
          <w:rFonts w:hint="eastAsia" w:ascii="仿宋_GB2312" w:hAnsi="仿宋_GB2312" w:eastAsia="仿宋_GB2312" w:cs="仿宋_GB2312"/>
          <w:b/>
          <w:bCs/>
          <w:szCs w:val="32"/>
        </w:rPr>
        <w:t>3.特色更加凸显。</w:t>
      </w:r>
      <w:r>
        <w:rPr>
          <w:rFonts w:hint="eastAsia" w:ascii="仿宋_GB2312" w:hAnsi="仿宋_GB2312" w:eastAsia="仿宋_GB2312" w:cs="仿宋_GB2312"/>
          <w:bCs/>
          <w:szCs w:val="32"/>
        </w:rPr>
        <w:t>结合区位环境，融合挖掘地域文化和人文特色，设置具备旅游、休闲、商贸、物流、客运等拓展功能的特色服务区，打造广东省宣传地域文化、树立良好形象的窗口。</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szCs w:val="32"/>
        </w:rPr>
        <w:t>——旅游休闲型：</w:t>
      </w:r>
      <w:r>
        <w:rPr>
          <w:rFonts w:hint="eastAsia" w:ascii="仿宋_GB2312" w:hAnsi="仿宋_GB2312" w:eastAsia="仿宋_GB2312" w:cs="仿宋_GB2312"/>
          <w:szCs w:val="32"/>
        </w:rPr>
        <w:t>全省A级旅游景区、省文化和旅游特色村、省旅游风情小镇附近可开发建设旅游休闲型服务区。根据旅游资源配置和服务区承担的角色，可分为旅游资源配套型、旅游综合体型、旅游目的地型等。</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szCs w:val="32"/>
        </w:rPr>
        <w:t>——商贸服务型：</w:t>
      </w:r>
      <w:r>
        <w:rPr>
          <w:rFonts w:hint="eastAsia" w:ascii="仿宋_GB2312" w:hAnsi="仿宋_GB2312" w:eastAsia="仿宋_GB2312" w:cs="仿宋_GB2312"/>
          <w:szCs w:val="32"/>
        </w:rPr>
        <w:t>城市或乡镇出入口、机场、火车场站、港口、大型制造企业或大型农产品生产基地附近可开发建设贸服务型服务区。根据服务区所在区位、贸易需求和产业特色，可分为商贸综合体、主题购物中心、批发贸易市场、会议展示中心等。</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szCs w:val="32"/>
        </w:rPr>
        <w:t>——地方特色型：</w:t>
      </w:r>
      <w:r>
        <w:rPr>
          <w:rFonts w:hint="eastAsia" w:ascii="仿宋_GB2312" w:hAnsi="仿宋_GB2312" w:eastAsia="仿宋_GB2312" w:cs="仿宋_GB2312"/>
          <w:szCs w:val="32"/>
        </w:rPr>
        <w:t>历史文化名城、历史文化名镇、特色小镇、46个全省农产品优势区附近可开发建设地方特色型服务区。根据服务区沿线地区特色、资源优势，可分为特色餐饮、特产展销、地方宣传展示等类型。</w:t>
      </w:r>
    </w:p>
    <w:p>
      <w:pPr>
        <w:adjustRightInd w:val="0"/>
        <w:snapToGrid w:val="0"/>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——物流服务型：</w:t>
      </w:r>
      <w:r>
        <w:rPr>
          <w:rFonts w:hint="eastAsia" w:ascii="仿宋_GB2312" w:hAnsi="仿宋_GB2312" w:eastAsia="仿宋_GB2312" w:cs="仿宋_GB2312"/>
          <w:szCs w:val="32"/>
        </w:rPr>
        <w:t>城市出入口附近可设置以城市配送服务为主的服务区，物资集散地附近可设置以物流中转服务为主、配合物资集散的服务区。</w:t>
      </w:r>
    </w:p>
    <w:p>
      <w:pPr>
        <w:adjustRightInd w:val="0"/>
        <w:snapToGrid w:val="0"/>
        <w:spacing w:line="560" w:lineRule="exact"/>
        <w:ind w:firstLine="643"/>
        <w:rPr>
          <w:rFonts w:ascii="仿宋_GB2312" w:hAnsi="仿宋_GB2312" w:eastAsia="仿宋_GB2312" w:cs="仿宋_GB2312"/>
          <w:color w:val="333333"/>
          <w:szCs w:val="32"/>
        </w:rPr>
      </w:pPr>
      <w:r>
        <w:rPr>
          <w:rFonts w:hint="eastAsia" w:ascii="仿宋_GB2312" w:hAnsi="仿宋_GB2312" w:eastAsia="仿宋_GB2312" w:cs="仿宋_GB2312"/>
          <w:b/>
          <w:bCs/>
          <w:szCs w:val="32"/>
        </w:rPr>
        <w:t>——客运服务型：</w:t>
      </w:r>
      <w:r>
        <w:rPr>
          <w:rFonts w:hint="eastAsia" w:ascii="仿宋_GB2312" w:hAnsi="仿宋_GB2312" w:eastAsia="仿宋_GB2312" w:cs="仿宋_GB2312"/>
          <w:color w:val="333333"/>
          <w:szCs w:val="32"/>
        </w:rPr>
        <w:t>靠近城市且周边无客运场站的服务区可设置长途客运接驳站，建立开放式的新型客运枢纽。</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依据特色服务区规划选址原则，结合实际建设需求，</w:t>
      </w:r>
      <w:r>
        <w:rPr>
          <w:rFonts w:hint="eastAsia" w:ascii="仿宋_GB2312" w:hAnsi="仿宋_GB2312" w:eastAsia="仿宋_GB2312" w:cs="仿宋_GB2312"/>
          <w:szCs w:val="32"/>
          <w:lang w:val="en-US" w:eastAsia="zh-CN"/>
        </w:rPr>
        <w:t>至2025年</w:t>
      </w:r>
      <w:r>
        <w:rPr>
          <w:rFonts w:hint="eastAsia" w:ascii="仿宋_GB2312" w:hAnsi="仿宋_GB2312" w:eastAsia="仿宋_GB2312" w:cs="仿宋_GB2312"/>
          <w:szCs w:val="32"/>
        </w:rPr>
        <w:t>开发建设</w:t>
      </w:r>
      <w:r>
        <w:rPr>
          <w:rFonts w:hint="eastAsia" w:ascii="仿宋_GB2312" w:hAnsi="仿宋_GB2312" w:eastAsia="仿宋_GB2312" w:cs="仿宋_GB2312"/>
          <w:szCs w:val="32"/>
          <w:lang w:val="en-US" w:eastAsia="zh-CN"/>
        </w:rPr>
        <w:t>107</w:t>
      </w:r>
      <w:r>
        <w:rPr>
          <w:rFonts w:hint="eastAsia" w:ascii="仿宋_GB2312" w:hAnsi="仿宋_GB2312" w:eastAsia="仿宋_GB2312" w:cs="仿宋_GB2312"/>
          <w:szCs w:val="32"/>
        </w:rPr>
        <w:t>对特色服务区。中远期根据实际发展情况组织论证特色服务区规划建设。</w:t>
      </w:r>
    </w:p>
    <w:p>
      <w:pPr>
        <w:pStyle w:val="2"/>
        <w:adjustRightInd w:val="0"/>
        <w:snapToGrid w:val="0"/>
        <w:spacing w:before="0" w:after="0" w:line="560" w:lineRule="exact"/>
        <w:ind w:firstLine="640" w:firstLineChars="200"/>
        <w:rPr>
          <w:rFonts w:ascii="黑体" w:hAnsi="黑体" w:cs="黑体"/>
          <w:b w:val="0"/>
          <w:bCs w:val="0"/>
          <w:szCs w:val="32"/>
        </w:rPr>
      </w:pPr>
      <w:bookmarkStart w:id="153" w:name="_Toc491851857"/>
      <w:bookmarkStart w:id="154" w:name="_Toc40436081"/>
      <w:bookmarkStart w:id="155" w:name="_Toc7575"/>
      <w:bookmarkStart w:id="156" w:name="_Toc10044"/>
      <w:bookmarkStart w:id="157" w:name="_Toc20980"/>
      <w:bookmarkStart w:id="158" w:name="_Toc32264"/>
      <w:bookmarkStart w:id="159" w:name="_Toc4165"/>
      <w:bookmarkStart w:id="160" w:name="_Toc26076"/>
      <w:bookmarkStart w:id="161" w:name="_Toc10853"/>
      <w:bookmarkStart w:id="162" w:name="_Toc22000"/>
      <w:r>
        <w:rPr>
          <w:rFonts w:hint="eastAsia" w:ascii="黑体" w:hAnsi="黑体" w:cs="黑体"/>
          <w:b w:val="0"/>
          <w:bCs w:val="0"/>
          <w:szCs w:val="32"/>
        </w:rPr>
        <w:t>四、</w:t>
      </w:r>
      <w:bookmarkEnd w:id="153"/>
      <w:r>
        <w:rPr>
          <w:rFonts w:hint="eastAsia" w:ascii="黑体" w:hAnsi="黑体" w:cs="黑体"/>
          <w:b w:val="0"/>
          <w:bCs w:val="0"/>
          <w:szCs w:val="32"/>
        </w:rPr>
        <w:t>实施安排</w:t>
      </w:r>
      <w:bookmarkEnd w:id="154"/>
      <w:bookmarkEnd w:id="155"/>
      <w:bookmarkEnd w:id="156"/>
      <w:bookmarkEnd w:id="157"/>
      <w:bookmarkEnd w:id="158"/>
      <w:bookmarkEnd w:id="159"/>
      <w:bookmarkEnd w:id="160"/>
      <w:bookmarkEnd w:id="161"/>
      <w:bookmarkEnd w:id="162"/>
    </w:p>
    <w:p>
      <w:pPr>
        <w:pStyle w:val="3"/>
        <w:adjustRightInd w:val="0"/>
        <w:snapToGrid w:val="0"/>
        <w:spacing w:before="0" w:after="0" w:line="560" w:lineRule="exact"/>
        <w:ind w:firstLine="643" w:firstLineChars="200"/>
        <w:rPr>
          <w:rFonts w:ascii="楷体_GB2312" w:hAnsi="楷体_GB2312" w:eastAsia="楷体_GB2312" w:cs="楷体_GB2312"/>
        </w:rPr>
      </w:pPr>
      <w:bookmarkStart w:id="163" w:name="_Toc3470"/>
      <w:bookmarkStart w:id="164" w:name="_Toc24572"/>
      <w:bookmarkStart w:id="165" w:name="_Toc14675"/>
      <w:bookmarkStart w:id="166" w:name="_Toc13491"/>
      <w:bookmarkStart w:id="167" w:name="_Toc22235"/>
      <w:bookmarkStart w:id="168" w:name="_Toc12869"/>
      <w:bookmarkStart w:id="169" w:name="_Toc18121"/>
      <w:bookmarkStart w:id="170" w:name="_Toc28970"/>
      <w:bookmarkStart w:id="171" w:name="_Toc40436082"/>
      <w:bookmarkStart w:id="172" w:name="_Toc491851859"/>
      <w:r>
        <w:rPr>
          <w:rFonts w:hint="eastAsia" w:ascii="楷体_GB2312" w:hAnsi="楷体_GB2312" w:eastAsia="楷体_GB2312" w:cs="楷体_GB2312"/>
        </w:rPr>
        <w:t>（一）近期（2020-2025年）</w:t>
      </w:r>
      <w:bookmarkEnd w:id="163"/>
      <w:bookmarkEnd w:id="164"/>
      <w:bookmarkEnd w:id="165"/>
      <w:bookmarkEnd w:id="166"/>
      <w:bookmarkEnd w:id="167"/>
      <w:bookmarkEnd w:id="168"/>
      <w:bookmarkEnd w:id="169"/>
      <w:bookmarkEnd w:id="170"/>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w:t>
      </w:r>
      <w:r>
        <w:rPr>
          <w:rFonts w:hint="eastAsia" w:ascii="仿宋_GB2312" w:hAnsi="仿宋_GB2312" w:eastAsia="仿宋_GB2312" w:cs="仿宋_GB2312"/>
          <w:szCs w:val="32"/>
        </w:rPr>
        <w:t>加快推进G15高速公路徐闻服务区等74对在建服务区建设，需投资约39.1亿元，建设用地6971亩。其中67对服务区与主线新建工程一并建设，7对服务区需另行独立建设。</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w:t>
      </w:r>
      <w:r>
        <w:rPr>
          <w:rFonts w:hint="eastAsia" w:ascii="仿宋_GB2312" w:hAnsi="仿宋_GB2312" w:eastAsia="仿宋_GB2312" w:cs="仿宋_GB2312"/>
          <w:szCs w:val="32"/>
        </w:rPr>
        <w:t>规划新建G15高速公路圣堂服务区等118对服务区。其中I类服务区33对、II类服务区40对、III类服务区（含停车区）45对，投资约81.4亿元，新增用地匡算约10436亩。75对服务区与主线新建工程一并建设，实现与高速公路的同步建设、同步开通运营；41对服务区在已建高速公路上独立建设，加密已有高速公路服务区密度。</w:t>
      </w:r>
    </w:p>
    <w:p>
      <w:pPr>
        <w:adjustRightInd w:val="0"/>
        <w:snapToGrid w:val="0"/>
        <w:spacing w:line="560" w:lineRule="exact"/>
        <w:ind w:firstLine="643"/>
        <w:rPr>
          <w:rFonts w:hint="eastAsia" w:ascii="仿宋_GB2312" w:hAnsi="仿宋_GB2312" w:eastAsia="仿宋_GB2312" w:cs="仿宋_GB2312"/>
          <w:szCs w:val="32"/>
          <w:lang w:val="en-US" w:eastAsia="zh-CN"/>
        </w:rPr>
      </w:pPr>
      <w:r>
        <w:rPr>
          <w:rFonts w:hint="eastAsia" w:ascii="仿宋_GB2312" w:hAnsi="仿宋_GB2312" w:eastAsia="仿宋_GB2312" w:cs="仿宋_GB2312"/>
          <w:b/>
          <w:bCs/>
          <w:szCs w:val="32"/>
        </w:rPr>
        <w:t>——</w:t>
      </w:r>
      <w:r>
        <w:rPr>
          <w:rFonts w:hint="eastAsia" w:ascii="仿宋_GB2312" w:hAnsi="仿宋_GB2312" w:eastAsia="仿宋_GB2312" w:cs="仿宋_GB2312"/>
          <w:szCs w:val="32"/>
        </w:rPr>
        <w:t>升级改造G15高速公路阳江服务区等46对现有服务区。其中I类服务区24对、II类服务区19对、III类服务区（含停车区）3对，投资约44.6亿元，新增用地匡算约3504亩。其中，13对服务区与主线新建工程一并建设，33对服务区需另行独立建设。通过原地改造、原地扩建、迁址重建等方式，扩大服务区规模、增强服务能力，满足司乘人员和车辆服务需求。</w:t>
      </w:r>
      <w:r>
        <w:rPr>
          <w:rFonts w:hint="eastAsia" w:ascii="仿宋_GB2312" w:hAnsi="仿宋_GB2312" w:eastAsia="仿宋_GB2312" w:cs="仿宋_GB2312"/>
          <w:szCs w:val="32"/>
          <w:lang w:val="en-US" w:eastAsia="zh-CN"/>
        </w:rPr>
        <w:t xml:space="preserve"> </w:t>
      </w:r>
    </w:p>
    <w:p>
      <w:pPr>
        <w:adjustRightInd w:val="0"/>
        <w:snapToGrid w:val="0"/>
        <w:spacing w:line="56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w:t>
      </w:r>
      <w:r>
        <w:rPr>
          <w:rFonts w:hint="eastAsia" w:ascii="仿宋_GB2312" w:hAnsi="仿宋_GB2312" w:eastAsia="仿宋_GB2312" w:cs="仿宋_GB2312"/>
          <w:szCs w:val="32"/>
        </w:rPr>
        <w:t>结合新能源汽车发展需求，</w:t>
      </w:r>
      <w:r>
        <w:rPr>
          <w:rFonts w:hint="eastAsia" w:ascii="仿宋_GB2312" w:hAnsi="仿宋_GB2312" w:eastAsia="仿宋_GB2312" w:cs="仿宋_GB2312"/>
          <w:szCs w:val="32"/>
          <w:lang w:val="en-US" w:eastAsia="zh-CN"/>
        </w:rPr>
        <w:t>已建和在建高速公路</w:t>
      </w:r>
      <w:r>
        <w:rPr>
          <w:rFonts w:hint="eastAsia" w:ascii="仿宋_GB2312" w:hAnsi="仿宋_GB2312" w:eastAsia="仿宋_GB2312" w:cs="仿宋_GB2312"/>
          <w:szCs w:val="32"/>
        </w:rPr>
        <w:t>服务区</w:t>
      </w:r>
      <w:r>
        <w:rPr>
          <w:rFonts w:hint="eastAsia" w:ascii="仿宋_GB2312" w:hAnsi="仿宋_GB2312" w:eastAsia="仿宋_GB2312" w:cs="仿宋_GB2312"/>
          <w:szCs w:val="32"/>
          <w:lang w:val="en-US" w:eastAsia="zh-CN"/>
        </w:rPr>
        <w:t>全面覆盖建设</w:t>
      </w:r>
      <w:r>
        <w:rPr>
          <w:rFonts w:hint="eastAsia" w:ascii="仿宋_GB2312" w:hAnsi="仿宋_GB2312" w:eastAsia="仿宋_GB2312" w:cs="仿宋_GB2312"/>
          <w:szCs w:val="32"/>
        </w:rPr>
        <w:t>充电</w:t>
      </w:r>
      <w:r>
        <w:rPr>
          <w:rFonts w:hint="eastAsia" w:ascii="仿宋_GB2312" w:hAnsi="仿宋_GB2312" w:eastAsia="仿宋_GB2312" w:cs="仿宋_GB2312"/>
          <w:szCs w:val="32"/>
          <w:lang w:val="en-US" w:eastAsia="zh-CN"/>
        </w:rPr>
        <w:t>设施</w:t>
      </w:r>
      <w:r>
        <w:rPr>
          <w:rFonts w:hint="eastAsia" w:ascii="仿宋_GB2312" w:hAnsi="仿宋_GB2312" w:eastAsia="仿宋_GB2312" w:cs="仿宋_GB2312"/>
          <w:szCs w:val="32"/>
        </w:rPr>
        <w:t>，规划新建服务区预留充电设施用地。</w:t>
      </w:r>
    </w:p>
    <w:p>
      <w:pPr>
        <w:adjustRightInd w:val="0"/>
        <w:snapToGrid w:val="0"/>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至2025年：</w:t>
      </w:r>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服务区平均间距达到31.4公里，密度达到3.2对/百公里；其中I类和II类服务区平均间距达到42公里，I类和II类服务区平均间距达到国家推荐标准。原有高速公路路段服务区服务能力短缺问题得到极大缓解，服务区基本服务供给充足。示范性特色优质服务区建设完成，成为全省服务区建设发展的示范和标杆。初步建成充电服务基本保障充分、充电补电及时高效、干线车辆畅行无忧的城际充电服务网络体系。服务区功能设施完善，卫生设施达到厕所革命要求，为各类人群服务的设施齐全。</w:t>
      </w:r>
    </w:p>
    <w:p>
      <w:pPr>
        <w:pStyle w:val="3"/>
        <w:adjustRightInd w:val="0"/>
        <w:snapToGrid w:val="0"/>
        <w:spacing w:before="0" w:after="0" w:line="560" w:lineRule="exact"/>
        <w:ind w:firstLine="643" w:firstLineChars="200"/>
        <w:rPr>
          <w:rFonts w:ascii="楷体_GB2312" w:hAnsi="楷体_GB2312" w:eastAsia="楷体_GB2312" w:cs="楷体_GB2312"/>
        </w:rPr>
      </w:pPr>
      <w:bookmarkStart w:id="173" w:name="_Toc4828"/>
      <w:bookmarkStart w:id="174" w:name="_Toc23708"/>
      <w:bookmarkStart w:id="175" w:name="_Toc13525"/>
      <w:bookmarkStart w:id="176" w:name="_Toc17957"/>
      <w:bookmarkStart w:id="177" w:name="_Toc5742"/>
      <w:bookmarkStart w:id="178" w:name="_Toc9218"/>
      <w:bookmarkStart w:id="179" w:name="_Toc32639"/>
      <w:bookmarkStart w:id="180" w:name="_Toc12688"/>
      <w:r>
        <w:rPr>
          <w:rFonts w:hint="eastAsia" w:ascii="楷体_GB2312" w:hAnsi="楷体_GB2312" w:eastAsia="楷体_GB2312" w:cs="楷体_GB2312"/>
        </w:rPr>
        <w:t>（二）中远期（2026-2035年）</w:t>
      </w:r>
      <w:bookmarkEnd w:id="173"/>
      <w:bookmarkEnd w:id="174"/>
      <w:bookmarkEnd w:id="175"/>
      <w:bookmarkEnd w:id="176"/>
      <w:bookmarkEnd w:id="177"/>
      <w:bookmarkEnd w:id="178"/>
      <w:bookmarkEnd w:id="179"/>
      <w:bookmarkEnd w:id="180"/>
    </w:p>
    <w:p>
      <w:pPr>
        <w:adjustRightInd w:val="0"/>
        <w:snapToGrid w:val="0"/>
        <w:spacing w:line="560" w:lineRule="exact"/>
        <w:ind w:firstLine="640"/>
        <w:rPr>
          <w:rFonts w:ascii="Times New Roman" w:hAnsi="Times New Roman" w:eastAsia="仿宋_GB2312" w:cs="Times New Roman"/>
          <w:szCs w:val="21"/>
        </w:rPr>
      </w:pPr>
      <w:r>
        <w:rPr>
          <w:rFonts w:hint="eastAsia" w:ascii="Times New Roman" w:hAnsi="Times New Roman" w:eastAsia="仿宋_GB2312" w:cs="Times New Roman"/>
          <w:szCs w:val="21"/>
        </w:rPr>
        <w:t>规划新建服务区216对，其中</w:t>
      </w:r>
      <w:r>
        <w:rPr>
          <w:rFonts w:ascii="Times New Roman" w:hAnsi="Times New Roman" w:eastAsia="仿宋_GB2312" w:cs="Times New Roman"/>
          <w:szCs w:val="21"/>
        </w:rPr>
        <w:t>I</w:t>
      </w:r>
      <w:r>
        <w:rPr>
          <w:rFonts w:hint="eastAsia" w:ascii="Times New Roman" w:hAnsi="Times New Roman" w:eastAsia="仿宋_GB2312" w:cs="Times New Roman"/>
          <w:szCs w:val="21"/>
        </w:rPr>
        <w:t>类服务区9对、</w:t>
      </w:r>
      <w:r>
        <w:rPr>
          <w:rFonts w:ascii="Times New Roman" w:hAnsi="Times New Roman" w:eastAsia="仿宋_GB2312" w:cs="Times New Roman"/>
          <w:szCs w:val="21"/>
        </w:rPr>
        <w:t>II</w:t>
      </w:r>
      <w:r>
        <w:rPr>
          <w:rFonts w:hint="eastAsia" w:ascii="Times New Roman" w:hAnsi="Times New Roman" w:eastAsia="仿宋_GB2312" w:cs="Times New Roman"/>
          <w:szCs w:val="21"/>
        </w:rPr>
        <w:t>类服务区</w:t>
      </w:r>
      <w:r>
        <w:rPr>
          <w:rFonts w:ascii="Times New Roman" w:hAnsi="Times New Roman" w:eastAsia="仿宋_GB2312" w:cs="Times New Roman"/>
          <w:szCs w:val="21"/>
        </w:rPr>
        <w:t>42</w:t>
      </w:r>
      <w:r>
        <w:rPr>
          <w:rFonts w:hint="eastAsia" w:ascii="Times New Roman" w:hAnsi="Times New Roman" w:eastAsia="仿宋_GB2312" w:cs="Times New Roman"/>
          <w:szCs w:val="21"/>
        </w:rPr>
        <w:t>对、</w:t>
      </w:r>
      <w:r>
        <w:rPr>
          <w:rFonts w:ascii="Times New Roman" w:hAnsi="Times New Roman" w:eastAsia="仿宋_GB2312" w:cs="Times New Roman"/>
          <w:szCs w:val="21"/>
        </w:rPr>
        <w:t>III</w:t>
      </w:r>
      <w:r>
        <w:rPr>
          <w:rFonts w:hint="eastAsia" w:ascii="Times New Roman" w:hAnsi="Times New Roman" w:eastAsia="仿宋_GB2312" w:cs="Times New Roman"/>
          <w:szCs w:val="21"/>
        </w:rPr>
        <w:t>类服务区（含停车区）</w:t>
      </w:r>
      <w:r>
        <w:rPr>
          <w:rFonts w:ascii="Times New Roman" w:hAnsi="Times New Roman" w:eastAsia="仿宋_GB2312" w:cs="Times New Roman"/>
          <w:szCs w:val="21"/>
        </w:rPr>
        <w:t>165</w:t>
      </w:r>
      <w:r>
        <w:rPr>
          <w:rFonts w:hint="eastAsia" w:ascii="Times New Roman" w:hAnsi="Times New Roman" w:eastAsia="仿宋_GB2312" w:cs="Times New Roman"/>
          <w:szCs w:val="21"/>
        </w:rPr>
        <w:t>对。改造服务区40对，其中改造I类服务区17对、II类服务区19对、</w:t>
      </w:r>
      <w:r>
        <w:rPr>
          <w:rFonts w:ascii="Times New Roman" w:hAnsi="Times New Roman" w:eastAsia="仿宋_GB2312" w:cs="Times New Roman"/>
          <w:szCs w:val="21"/>
        </w:rPr>
        <w:t>III类服务区（含停车区）</w:t>
      </w:r>
      <w:r>
        <w:rPr>
          <w:rFonts w:hint="eastAsia" w:ascii="Times New Roman" w:hAnsi="Times New Roman" w:eastAsia="仿宋_GB2312" w:cs="Times New Roman"/>
          <w:szCs w:val="21"/>
        </w:rPr>
        <w:t>4对。与服务区同步建设充电</w:t>
      </w:r>
      <w:r>
        <w:rPr>
          <w:rFonts w:hint="eastAsia" w:ascii="Times New Roman" w:hAnsi="Times New Roman" w:eastAsia="仿宋_GB2312" w:cs="Times New Roman"/>
          <w:szCs w:val="21"/>
          <w:lang w:val="en-US" w:eastAsia="zh-CN"/>
        </w:rPr>
        <w:t>设施</w:t>
      </w:r>
      <w:r>
        <w:rPr>
          <w:rFonts w:hint="eastAsia" w:ascii="Times New Roman" w:hAnsi="Times New Roman" w:eastAsia="仿宋_GB2312" w:cs="Times New Roman"/>
          <w:szCs w:val="21"/>
        </w:rPr>
        <w:t>，实现服务区充电</w:t>
      </w:r>
      <w:r>
        <w:rPr>
          <w:rFonts w:hint="eastAsia" w:ascii="Times New Roman" w:hAnsi="Times New Roman" w:eastAsia="仿宋_GB2312" w:cs="Times New Roman"/>
          <w:szCs w:val="21"/>
          <w:lang w:val="en-US" w:eastAsia="zh-CN"/>
        </w:rPr>
        <w:t>设施</w:t>
      </w:r>
      <w:r>
        <w:rPr>
          <w:rFonts w:hint="eastAsia" w:ascii="Times New Roman" w:hAnsi="Times New Roman" w:eastAsia="仿宋_GB2312" w:cs="Times New Roman"/>
          <w:szCs w:val="21"/>
        </w:rPr>
        <w:t>全覆盖。</w:t>
      </w:r>
      <w:r>
        <w:rPr>
          <w:rFonts w:ascii="Times New Roman" w:hAnsi="Times New Roman" w:eastAsia="仿宋_GB2312" w:cs="Times New Roman"/>
          <w:szCs w:val="21"/>
        </w:rPr>
        <w:t>打造现代智慧服务区，大幅提升服务区服务水平，满足人民群众出行服务品质化需求。</w:t>
      </w:r>
    </w:p>
    <w:bookmarkEnd w:id="171"/>
    <w:bookmarkEnd w:id="172"/>
    <w:p>
      <w:pPr>
        <w:adjustRightInd w:val="0"/>
        <w:snapToGrid w:val="0"/>
        <w:spacing w:line="560" w:lineRule="exact"/>
        <w:ind w:firstLine="643"/>
        <w:rPr>
          <w:rFonts w:ascii="仿宋_GB2312" w:hAnsi="仿宋_GB2312" w:eastAsia="仿宋_GB2312" w:cs="仿宋_GB2312"/>
          <w:b/>
          <w:szCs w:val="32"/>
        </w:rPr>
      </w:pPr>
      <w:bookmarkStart w:id="181" w:name="_Toc491851869"/>
      <w:r>
        <w:rPr>
          <w:rFonts w:hint="eastAsia" w:ascii="仿宋_GB2312" w:hAnsi="仿宋_GB2312" w:eastAsia="仿宋_GB2312" w:cs="仿宋_GB2312"/>
          <w:b/>
          <w:szCs w:val="32"/>
        </w:rPr>
        <w:t>至2035年：</w:t>
      </w:r>
    </w:p>
    <w:p>
      <w:pPr>
        <w:adjustRightInd w:val="0"/>
        <w:snapToGrid w:val="0"/>
        <w:spacing w:line="56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服务区平均间距为24.3公里，密度为4.1对/百公里，平均间距较目前缩短近一倍。其中，I类和II类服务区平均间距达到42.8公里，密度为2.3对/百公里。主要通道、大中城市周边、省界、旅游目的地、产业聚集地附近均设置了I类服务区。</w:t>
      </w:r>
      <w:r>
        <w:rPr>
          <w:rFonts w:hint="eastAsia" w:ascii="仿宋_GB2312" w:hAnsi="仿宋_GB2312" w:eastAsia="仿宋_GB2312" w:cs="仿宋_GB2312"/>
          <w:bCs/>
          <w:szCs w:val="32"/>
        </w:rPr>
        <w:t>结合区位环境，融合挖掘地域文化和人文特色，设置</w:t>
      </w:r>
      <w:r>
        <w:rPr>
          <w:rFonts w:hint="eastAsia" w:ascii="仿宋_GB2312" w:hAnsi="仿宋_GB2312" w:eastAsia="仿宋_GB2312" w:cs="仿宋_GB2312"/>
          <w:bCs/>
          <w:szCs w:val="32"/>
          <w:lang w:val="en-US" w:eastAsia="zh-CN"/>
        </w:rPr>
        <w:t>具备</w:t>
      </w:r>
      <w:r>
        <w:rPr>
          <w:rFonts w:hint="eastAsia" w:ascii="仿宋_GB2312" w:hAnsi="仿宋_GB2312" w:eastAsia="仿宋_GB2312" w:cs="仿宋_GB2312"/>
          <w:bCs/>
          <w:szCs w:val="32"/>
        </w:rPr>
        <w:t>旅游、休闲、商贸、物流等拓展</w:t>
      </w:r>
      <w:bookmarkStart w:id="217" w:name="_GoBack"/>
      <w:bookmarkEnd w:id="217"/>
      <w:r>
        <w:rPr>
          <w:rFonts w:hint="eastAsia" w:ascii="仿宋_GB2312" w:hAnsi="仿宋_GB2312" w:eastAsia="仿宋_GB2312" w:cs="仿宋_GB2312"/>
          <w:bCs/>
          <w:szCs w:val="32"/>
        </w:rPr>
        <w:t>功能</w:t>
      </w:r>
      <w:r>
        <w:rPr>
          <w:rFonts w:hint="eastAsia" w:ascii="仿宋_GB2312" w:hAnsi="仿宋_GB2312" w:eastAsia="仿宋_GB2312" w:cs="仿宋_GB2312"/>
          <w:bCs/>
          <w:szCs w:val="32"/>
          <w:lang w:val="en-US" w:eastAsia="zh-CN"/>
        </w:rPr>
        <w:t>的特色</w:t>
      </w:r>
      <w:r>
        <w:rPr>
          <w:rFonts w:hint="eastAsia" w:ascii="仿宋_GB2312" w:hAnsi="仿宋_GB2312" w:eastAsia="仿宋_GB2312" w:cs="仿宋_GB2312"/>
          <w:bCs/>
          <w:szCs w:val="32"/>
        </w:rPr>
        <w:t>服务区，</w:t>
      </w:r>
      <w:r>
        <w:rPr>
          <w:rFonts w:hint="eastAsia" w:ascii="仿宋_GB2312" w:hAnsi="仿宋_GB2312" w:eastAsia="仿宋_GB2312" w:cs="仿宋_GB2312"/>
          <w:b w:val="0"/>
          <w:bCs/>
          <w:color w:val="auto"/>
          <w:szCs w:val="32"/>
          <w:u w:val="none"/>
        </w:rPr>
        <w:t>打</w:t>
      </w:r>
      <w:r>
        <w:rPr>
          <w:rFonts w:hint="eastAsia" w:ascii="仿宋_GB2312" w:hAnsi="仿宋_GB2312" w:eastAsia="仿宋_GB2312" w:cs="仿宋_GB2312"/>
          <w:szCs w:val="32"/>
        </w:rPr>
        <w:t>造宣扬社会主义核心价值观和展示广东省地域文化及良好形象的重要窗口。</w:t>
      </w:r>
    </w:p>
    <w:p>
      <w:pPr>
        <w:pStyle w:val="2"/>
        <w:adjustRightInd w:val="0"/>
        <w:snapToGrid w:val="0"/>
        <w:spacing w:before="0" w:after="0" w:line="560" w:lineRule="exact"/>
        <w:ind w:firstLine="640" w:firstLineChars="200"/>
        <w:rPr>
          <w:rFonts w:ascii="黑体" w:hAnsi="黑体" w:cs="黑体"/>
          <w:b w:val="0"/>
          <w:bCs w:val="0"/>
          <w:szCs w:val="32"/>
        </w:rPr>
      </w:pPr>
      <w:bookmarkStart w:id="182" w:name="_Toc16525"/>
      <w:bookmarkStart w:id="183" w:name="_Toc32051"/>
      <w:bookmarkStart w:id="184" w:name="_Toc3074"/>
      <w:bookmarkStart w:id="185" w:name="_Toc1062"/>
      <w:bookmarkStart w:id="186" w:name="_Toc53394385"/>
      <w:bookmarkStart w:id="187" w:name="_Toc20508"/>
      <w:r>
        <w:rPr>
          <w:rFonts w:hint="eastAsia" w:ascii="黑体" w:hAnsi="黑体" w:cs="黑体"/>
          <w:b w:val="0"/>
          <w:bCs w:val="0"/>
          <w:szCs w:val="32"/>
        </w:rPr>
        <w:t>五、环境影响评价</w:t>
      </w:r>
      <w:bookmarkEnd w:id="182"/>
      <w:bookmarkEnd w:id="183"/>
      <w:bookmarkEnd w:id="184"/>
      <w:bookmarkEnd w:id="185"/>
      <w:bookmarkEnd w:id="186"/>
      <w:bookmarkEnd w:id="187"/>
    </w:p>
    <w:p>
      <w:pPr>
        <w:adjustRightInd w:val="0"/>
        <w:snapToGrid w:val="0"/>
        <w:spacing w:line="560" w:lineRule="exact"/>
        <w:ind w:firstLine="640"/>
        <w:rPr>
          <w:rFonts w:ascii="Times New Roman" w:hAnsi="Times New Roman" w:eastAsia="仿宋_GB2312" w:cs="Times New Roman"/>
          <w:szCs w:val="28"/>
          <w:highlight w:val="yellow"/>
        </w:rPr>
      </w:pPr>
      <w:r>
        <w:rPr>
          <w:rFonts w:hint="eastAsia"/>
        </w:rPr>
        <w:t>广东省高速公路服务区覆盖全省区域，包括自然生态区、城镇人口密集区、工业区等，生态系统类型丰富，环境影响类型的多样化较为明显。高速公路</w:t>
      </w:r>
      <w:r>
        <w:rPr>
          <w:rFonts w:hint="eastAsia"/>
          <w:szCs w:val="28"/>
        </w:rPr>
        <w:t>服务区规划建设要</w:t>
      </w:r>
      <w:r>
        <w:rPr>
          <w:rFonts w:hint="eastAsia"/>
          <w:szCs w:val="28"/>
          <w:lang w:val="en-US" w:eastAsia="zh-CN"/>
        </w:rPr>
        <w:t>践行</w:t>
      </w:r>
      <w:r>
        <w:rPr>
          <w:rFonts w:hint="eastAsia"/>
          <w:szCs w:val="28"/>
        </w:rPr>
        <w:t>高效、绿色、安全等发展理念，</w:t>
      </w:r>
      <w:r>
        <w:rPr>
          <w:szCs w:val="28"/>
        </w:rPr>
        <w:t>严守生态保护红线，严格按规定做好项目环境评价，落实废水、废气、噪声等各项污染防治措施，建立健全环境风险应急防范机制。坚决落实节能减排和绿色交通有关政策，</w:t>
      </w:r>
      <w:r>
        <w:rPr>
          <w:rFonts w:hint="eastAsia"/>
          <w:szCs w:val="28"/>
        </w:rPr>
        <w:t>实现生态绿色交通可持续发展，充分考虑现有设施的综合利用，</w:t>
      </w:r>
      <w:r>
        <w:rPr>
          <w:rFonts w:hint="eastAsia" w:ascii="Times New Roman" w:hAnsi="Times New Roman" w:eastAsia="仿宋_GB2312" w:cs="Times New Roman"/>
          <w:szCs w:val="28"/>
        </w:rPr>
        <w:t>加快完善服务区充电桩配置，助力推广新能源汽车。</w:t>
      </w:r>
    </w:p>
    <w:p>
      <w:pPr>
        <w:pStyle w:val="2"/>
        <w:adjustRightInd w:val="0"/>
        <w:snapToGrid w:val="0"/>
        <w:spacing w:before="0" w:after="0" w:line="560" w:lineRule="exact"/>
        <w:ind w:firstLine="640" w:firstLineChars="200"/>
        <w:rPr>
          <w:rFonts w:ascii="黑体" w:hAnsi="黑体" w:cs="黑体"/>
          <w:b w:val="0"/>
          <w:bCs w:val="0"/>
          <w:szCs w:val="32"/>
        </w:rPr>
      </w:pPr>
      <w:bookmarkStart w:id="188" w:name="_Toc12609"/>
      <w:bookmarkStart w:id="189" w:name="_Toc963"/>
      <w:bookmarkStart w:id="190" w:name="_Toc7602"/>
      <w:bookmarkStart w:id="191" w:name="_Toc1102"/>
      <w:bookmarkStart w:id="192" w:name="_Toc3555"/>
      <w:r>
        <w:rPr>
          <w:rFonts w:hint="eastAsia" w:ascii="黑体" w:hAnsi="黑体" w:cs="黑体"/>
          <w:b w:val="0"/>
          <w:bCs w:val="0"/>
          <w:szCs w:val="32"/>
        </w:rPr>
        <w:t>六、保障措施</w:t>
      </w:r>
      <w:bookmarkEnd w:id="181"/>
      <w:bookmarkEnd w:id="188"/>
      <w:bookmarkEnd w:id="189"/>
      <w:bookmarkEnd w:id="190"/>
      <w:bookmarkEnd w:id="191"/>
      <w:bookmarkEnd w:id="192"/>
    </w:p>
    <w:p>
      <w:pPr>
        <w:pStyle w:val="3"/>
        <w:spacing w:line="560" w:lineRule="exact"/>
        <w:ind w:firstLine="643" w:firstLineChars="200"/>
        <w:rPr>
          <w:rFonts w:ascii="楷体_GB2312" w:hAnsi="楷体_GB2312" w:eastAsia="楷体_GB2312" w:cs="楷体_GB2312"/>
        </w:rPr>
      </w:pPr>
      <w:bookmarkStart w:id="193" w:name="_Toc30411"/>
      <w:bookmarkStart w:id="194" w:name="_Toc29775"/>
      <w:bookmarkStart w:id="195" w:name="_Toc27042"/>
      <w:bookmarkStart w:id="196" w:name="_Toc2763"/>
      <w:bookmarkStart w:id="197" w:name="_Toc31802"/>
      <w:bookmarkStart w:id="198" w:name="_Toc29006"/>
      <w:r>
        <w:rPr>
          <w:rFonts w:hint="eastAsia" w:ascii="楷体_GB2312" w:hAnsi="楷体_GB2312" w:eastAsia="楷体_GB2312" w:cs="楷体_GB2312"/>
        </w:rPr>
        <w:t>（一）加强组织协调，确保规划实施</w:t>
      </w:r>
      <w:bookmarkEnd w:id="193"/>
      <w:bookmarkEnd w:id="194"/>
      <w:bookmarkEnd w:id="195"/>
      <w:bookmarkEnd w:id="196"/>
      <w:bookmarkEnd w:id="197"/>
      <w:bookmarkEnd w:id="198"/>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各级交通运输主管部门加强与发展改革、财政、自然资源、生态环境、住房和城乡建设、文化和旅游、国资、能源等部门的沟通协调，统筹谋划、合力推进高速公路服务区规划实施。本规划保持适度开放性，服务区选址可结合实际情况适当调整，具体在项目设计批复中确定。</w:t>
      </w:r>
      <w:r>
        <w:rPr>
          <w:rFonts w:hint="eastAsia" w:ascii="仿宋_GB2312" w:hAnsi="仿宋_GB2312" w:eastAsia="仿宋_GB2312" w:cs="仿宋_GB2312"/>
          <w:szCs w:val="32"/>
          <w:lang w:val="en-US" w:eastAsia="zh-CN"/>
        </w:rPr>
        <w:t>做好规划实施评估，建立规划动态调整机制。</w:t>
      </w:r>
    </w:p>
    <w:p>
      <w:pPr>
        <w:pStyle w:val="3"/>
        <w:spacing w:line="560" w:lineRule="exact"/>
        <w:ind w:firstLine="643" w:firstLineChars="200"/>
        <w:rPr>
          <w:rFonts w:ascii="楷体_GB2312" w:hAnsi="楷体_GB2312" w:eastAsia="楷体_GB2312" w:cs="楷体_GB2312"/>
        </w:rPr>
      </w:pPr>
      <w:bookmarkStart w:id="199" w:name="_Toc31065"/>
      <w:bookmarkStart w:id="200" w:name="_Toc517"/>
      <w:bookmarkStart w:id="201" w:name="_Toc31126"/>
      <w:bookmarkStart w:id="202" w:name="_Toc7777"/>
      <w:bookmarkStart w:id="203" w:name="_Toc9091"/>
      <w:bookmarkStart w:id="204" w:name="_Toc20395"/>
      <w:r>
        <w:rPr>
          <w:rFonts w:hint="eastAsia" w:ascii="楷体_GB2312" w:hAnsi="楷体_GB2312" w:eastAsia="楷体_GB2312" w:cs="楷体_GB2312"/>
        </w:rPr>
        <w:t>（二）保障用地落实、完善配套设施</w:t>
      </w:r>
      <w:bookmarkEnd w:id="199"/>
      <w:bookmarkEnd w:id="200"/>
      <w:bookmarkEnd w:id="201"/>
      <w:bookmarkEnd w:id="202"/>
      <w:bookmarkEnd w:id="203"/>
      <w:bookmarkEnd w:id="204"/>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按照集约节约用地原则，科学确定服务区用地面积，争取将高速公路服务区纳入市县国土空间规划。新建或改扩建高速公路项目，服务区作为高速公路项目的附属设施，与高速公路主体项目一并办理用地手续。优化服务区加油站规划布点，完善供水、供电、排污等配套设施，支持服务区污水就近接入市政管网统一处理。加强与5G基站、充电桩等产业布局衔接，促进传统基建与“新基建”、新能源产业融合发展。</w:t>
      </w:r>
    </w:p>
    <w:p>
      <w:pPr>
        <w:pStyle w:val="3"/>
        <w:spacing w:line="560" w:lineRule="exact"/>
        <w:ind w:firstLine="643" w:firstLineChars="200"/>
        <w:rPr>
          <w:rFonts w:ascii="楷体_GB2312" w:hAnsi="楷体_GB2312" w:eastAsia="楷体_GB2312" w:cs="楷体_GB2312"/>
        </w:rPr>
      </w:pPr>
      <w:bookmarkStart w:id="205" w:name="_Toc14749"/>
      <w:bookmarkStart w:id="206" w:name="_Toc15473"/>
      <w:bookmarkStart w:id="207" w:name="_Toc31753"/>
      <w:bookmarkStart w:id="208" w:name="_Toc18981"/>
      <w:bookmarkStart w:id="209" w:name="_Toc4012"/>
      <w:bookmarkStart w:id="210" w:name="_Toc979"/>
      <w:r>
        <w:rPr>
          <w:rFonts w:hint="eastAsia" w:ascii="楷体_GB2312" w:hAnsi="楷体_GB2312" w:eastAsia="楷体_GB2312" w:cs="楷体_GB2312"/>
        </w:rPr>
        <w:t>（三）完善投资机制，保障资金供给</w:t>
      </w:r>
      <w:bookmarkEnd w:id="205"/>
      <w:bookmarkEnd w:id="206"/>
      <w:bookmarkEnd w:id="207"/>
      <w:bookmarkEnd w:id="208"/>
      <w:bookmarkEnd w:id="209"/>
      <w:bookmarkEnd w:id="210"/>
    </w:p>
    <w:p>
      <w:pPr>
        <w:adjustRightInd w:val="0"/>
        <w:snapToGrid w:val="0"/>
        <w:spacing w:line="560" w:lineRule="exact"/>
        <w:ind w:firstLine="640"/>
        <w:rPr>
          <w:rFonts w:ascii="仿宋_GB2312" w:hAnsi="仿宋_GB2312" w:eastAsia="仿宋_GB2312" w:cs="仿宋_GB2312"/>
          <w:szCs w:val="32"/>
          <w:highlight w:val="yellow"/>
        </w:rPr>
      </w:pPr>
      <w:r>
        <w:rPr>
          <w:rFonts w:hint="eastAsia" w:ascii="仿宋_GB2312" w:hAnsi="仿宋_GB2312" w:eastAsia="仿宋_GB2312" w:cs="仿宋_GB2312"/>
          <w:szCs w:val="32"/>
        </w:rPr>
        <w:t>推进服务区营运管理体制机制改革，提升高速公路服务区的现代化和智能化运维水平。探索推进专业公司统一经营与租赁经营相结合的经营管理模式，推进高速公路服务区经营管理向连锁规模化经营和管理专业化方向发展。积极探索通过PPP模式，引入社会资本参与，降低公共服务成本，提高公共服务供给效率。</w:t>
      </w:r>
    </w:p>
    <w:p>
      <w:pPr>
        <w:pStyle w:val="3"/>
        <w:spacing w:line="560" w:lineRule="exact"/>
        <w:ind w:firstLine="643" w:firstLineChars="200"/>
        <w:rPr>
          <w:rFonts w:ascii="楷体_GB2312" w:hAnsi="楷体_GB2312" w:eastAsia="楷体_GB2312" w:cs="楷体_GB2312"/>
        </w:rPr>
      </w:pPr>
      <w:bookmarkStart w:id="211" w:name="_Toc11345"/>
      <w:bookmarkStart w:id="212" w:name="_Toc31037"/>
      <w:bookmarkStart w:id="213" w:name="_Toc32528"/>
      <w:bookmarkStart w:id="214" w:name="_Toc22909"/>
      <w:bookmarkStart w:id="215" w:name="_Toc5160"/>
      <w:bookmarkStart w:id="216" w:name="_Toc30076"/>
      <w:r>
        <w:rPr>
          <w:rFonts w:hint="eastAsia" w:ascii="楷体_GB2312" w:hAnsi="楷体_GB2312" w:eastAsia="楷体_GB2312" w:cs="楷体_GB2312"/>
        </w:rPr>
        <w:t>（四）重视地域文化融合，凸显地方特色展示</w:t>
      </w:r>
      <w:bookmarkEnd w:id="211"/>
      <w:bookmarkEnd w:id="212"/>
      <w:bookmarkEnd w:id="213"/>
      <w:bookmarkEnd w:id="214"/>
      <w:bookmarkEnd w:id="215"/>
      <w:bookmarkEnd w:id="216"/>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结合当地传统文化、旅游、商业、农业、物流</w:t>
      </w:r>
      <w:r>
        <w:rPr>
          <w:rFonts w:hint="eastAsia" w:ascii="仿宋_GB2312" w:hAnsi="仿宋_GB2312" w:eastAsia="仿宋_GB2312" w:cs="仿宋_GB2312"/>
          <w:szCs w:val="32"/>
          <w:lang w:val="en-US" w:eastAsia="zh-CN"/>
        </w:rPr>
        <w:t>等</w:t>
      </w:r>
      <w:r>
        <w:rPr>
          <w:rFonts w:hint="eastAsia" w:ascii="仿宋_GB2312" w:hAnsi="仿宋_GB2312" w:eastAsia="仿宋_GB2312" w:cs="仿宋_GB2312"/>
          <w:szCs w:val="32"/>
        </w:rPr>
        <w:t>资源，加强沟通协商，共同策划特色服务区建设，发挥高速公路服务区作为区域和城市对外宣传的窗口，和传播地域文化、树立良好形象、带动土地开发利用、促进特色产业发展的重要作用。复合功能型特色服务区按照综合利用、一体设计、统筹建设的原则规划设计，形成服务区交通、商业、文旅等多功能融合发展的新格局。</w:t>
      </w:r>
    </w:p>
    <w:p>
      <w:pPr>
        <w:numPr>
          <w:ilvl w:val="255"/>
          <w:numId w:val="0"/>
        </w:numPr>
        <w:adjustRightInd w:val="0"/>
        <w:snapToGrid w:val="0"/>
        <w:spacing w:line="560" w:lineRule="exact"/>
        <w:rPr>
          <w:rFonts w:ascii="仿宋_GB2312" w:hAnsi="仿宋_GB2312" w:eastAsia="仿宋_GB2312" w:cs="仿宋_GB2312"/>
          <w:szCs w:val="28"/>
          <w:highlight w:val="yellow"/>
        </w:rPr>
      </w:pPr>
    </w:p>
    <w:sectPr>
      <w:headerReference r:id="rId10" w:type="default"/>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352917605"/>
    </w:sdtPr>
    <w:sdtEndPr>
      <w:rPr>
        <w:rFonts w:hint="eastAsia" w:ascii="宋体" w:hAnsi="宋体" w:cs="宋体"/>
        <w:sz w:val="24"/>
        <w:szCs w:val="24"/>
      </w:rPr>
    </w:sdtEndPr>
    <w:sdtContent>
      <w:p>
        <w:pPr>
          <w:pStyle w:val="18"/>
          <w:ind w:firstLine="480"/>
          <w:jc w:val="center"/>
          <w:rPr>
            <w:rFonts w:ascii="宋体" w:hAnsi="宋体" w:cs="宋体"/>
          </w:rPr>
        </w:pPr>
        <w:r>
          <w:rPr>
            <w:rFonts w:hint="eastAsia" w:ascii="宋体" w:hAnsi="宋体" w:cs="宋体"/>
            <w:sz w:val="24"/>
            <w:szCs w:val="24"/>
          </w:rPr>
          <w:fldChar w:fldCharType="begin"/>
        </w:r>
        <w:r>
          <w:rPr>
            <w:rFonts w:hint="eastAsia" w:ascii="宋体" w:hAnsi="宋体" w:cs="宋体"/>
            <w:sz w:val="24"/>
            <w:szCs w:val="24"/>
          </w:rPr>
          <w:instrText xml:space="preserve">PAGE   \* MERGEFORMAT</w:instrText>
        </w:r>
        <w:r>
          <w:rPr>
            <w:rFonts w:hint="eastAsia" w:ascii="宋体" w:hAnsi="宋体" w:cs="宋体"/>
            <w:sz w:val="24"/>
            <w:szCs w:val="24"/>
          </w:rPr>
          <w:fldChar w:fldCharType="separate"/>
        </w:r>
        <w:r>
          <w:rPr>
            <w:rFonts w:ascii="宋体" w:hAnsi="宋体" w:cs="宋体"/>
            <w:sz w:val="24"/>
            <w:szCs w:val="24"/>
            <w:lang w:val="zh-CN"/>
          </w:rPr>
          <w:t>13</w:t>
        </w:r>
        <w:r>
          <w:rPr>
            <w:rFonts w:hint="eastAsia" w:ascii="宋体" w:hAnsi="宋体" w:cs="宋体"/>
            <w:sz w:val="24"/>
            <w:szCs w:val="24"/>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8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2"/>
      <w:suff w:val="nothing"/>
      <w:lvlText w:val="%1.%2　"/>
      <w:lvlJc w:val="left"/>
      <w:pPr>
        <w:ind w:left="42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4"/>
      <w:suff w:val="nothing"/>
      <w:lvlText w:val="%1.%2.%3　"/>
      <w:lvlJc w:val="left"/>
      <w:pPr>
        <w:ind w:left="993" w:firstLine="0"/>
      </w:pPr>
      <w:rPr>
        <w:rFonts w:hint="eastAsia" w:ascii="黑体" w:hAnsi="Times New Roman" w:eastAsia="黑体"/>
        <w:b w:val="0"/>
        <w:i w:val="0"/>
        <w:sz w:val="21"/>
      </w:rPr>
    </w:lvl>
    <w:lvl w:ilvl="3" w:tentative="0">
      <w:start w:val="1"/>
      <w:numFmt w:val="decimal"/>
      <w:pStyle w:val="85"/>
      <w:suff w:val="nothing"/>
      <w:lvlText w:val="%1.%2.%3.%4　"/>
      <w:lvlJc w:val="left"/>
      <w:pPr>
        <w:ind w:left="1701"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9CB60FB"/>
    <w:multiLevelType w:val="multilevel"/>
    <w:tmpl w:val="39CB60FB"/>
    <w:lvl w:ilvl="0" w:tentative="0">
      <w:start w:val="1"/>
      <w:numFmt w:val="decimalEnclosedCircle"/>
      <w:lvlText w:val="%1"/>
      <w:lvlJc w:val="left"/>
      <w:pPr>
        <w:ind w:left="900" w:hanging="420"/>
      </w:pPr>
      <w:rPr>
        <w:rFonts w:hint="default"/>
        <w:color w:val="000000"/>
      </w:rPr>
    </w:lvl>
    <w:lvl w:ilvl="1" w:tentative="0">
      <w:start w:val="1"/>
      <w:numFmt w:val="lowerLetter"/>
      <w:lvlText w:val="%2)"/>
      <w:lvlJc w:val="left"/>
      <w:pPr>
        <w:ind w:left="1320" w:hanging="420"/>
      </w:pPr>
    </w:lvl>
    <w:lvl w:ilvl="2" w:tentative="0">
      <w:start w:val="1"/>
      <w:numFmt w:val="lowerRoman"/>
      <w:pStyle w:val="89"/>
      <w:lvlText w:val="%3."/>
      <w:lvlJc w:val="right"/>
      <w:pPr>
        <w:ind w:left="1740" w:hanging="420"/>
      </w:pPr>
    </w:lvl>
    <w:lvl w:ilvl="3" w:tentative="0">
      <w:start w:val="1"/>
      <w:numFmt w:val="decimal"/>
      <w:pStyle w:val="88"/>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29A188F"/>
    <w:multiLevelType w:val="multilevel"/>
    <w:tmpl w:val="529A188F"/>
    <w:lvl w:ilvl="0" w:tentative="0">
      <w:start w:val="1"/>
      <w:numFmt w:val="decimal"/>
      <w:pStyle w:val="57"/>
      <w:lvlText w:val="图%1"/>
      <w:lvlJc w:val="right"/>
      <w:pPr>
        <w:tabs>
          <w:tab w:val="left" w:pos="5382"/>
        </w:tabs>
        <w:ind w:left="5382"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revisionView w:markup="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B"/>
    <w:rsid w:val="00003D22"/>
    <w:rsid w:val="000114A3"/>
    <w:rsid w:val="000115A3"/>
    <w:rsid w:val="00014A6E"/>
    <w:rsid w:val="000217FB"/>
    <w:rsid w:val="00021F5E"/>
    <w:rsid w:val="00023348"/>
    <w:rsid w:val="0002676F"/>
    <w:rsid w:val="00026EF6"/>
    <w:rsid w:val="00031D2F"/>
    <w:rsid w:val="00031F2A"/>
    <w:rsid w:val="00032600"/>
    <w:rsid w:val="0003711D"/>
    <w:rsid w:val="00040649"/>
    <w:rsid w:val="000502B6"/>
    <w:rsid w:val="00054D45"/>
    <w:rsid w:val="0006074C"/>
    <w:rsid w:val="00061191"/>
    <w:rsid w:val="0006761E"/>
    <w:rsid w:val="00070A5B"/>
    <w:rsid w:val="000740C2"/>
    <w:rsid w:val="00075647"/>
    <w:rsid w:val="00081F8E"/>
    <w:rsid w:val="00084077"/>
    <w:rsid w:val="00085C36"/>
    <w:rsid w:val="00090B90"/>
    <w:rsid w:val="000912FA"/>
    <w:rsid w:val="0009136F"/>
    <w:rsid w:val="00091B7C"/>
    <w:rsid w:val="000A5050"/>
    <w:rsid w:val="000A50C1"/>
    <w:rsid w:val="000A5D29"/>
    <w:rsid w:val="000A6164"/>
    <w:rsid w:val="000B16BD"/>
    <w:rsid w:val="000B4B6C"/>
    <w:rsid w:val="000B4E55"/>
    <w:rsid w:val="000B4F6C"/>
    <w:rsid w:val="000B7639"/>
    <w:rsid w:val="000B7F1A"/>
    <w:rsid w:val="000C06A9"/>
    <w:rsid w:val="000C2D8B"/>
    <w:rsid w:val="000D1B68"/>
    <w:rsid w:val="000D5F25"/>
    <w:rsid w:val="000E2FCB"/>
    <w:rsid w:val="000E56C6"/>
    <w:rsid w:val="000F38C9"/>
    <w:rsid w:val="00104548"/>
    <w:rsid w:val="001068B7"/>
    <w:rsid w:val="00107522"/>
    <w:rsid w:val="001129FB"/>
    <w:rsid w:val="00115EFE"/>
    <w:rsid w:val="00124061"/>
    <w:rsid w:val="00131282"/>
    <w:rsid w:val="00133CDD"/>
    <w:rsid w:val="0014344D"/>
    <w:rsid w:val="00144039"/>
    <w:rsid w:val="001460F9"/>
    <w:rsid w:val="00147C9D"/>
    <w:rsid w:val="00151260"/>
    <w:rsid w:val="00151DBE"/>
    <w:rsid w:val="001532D3"/>
    <w:rsid w:val="00160649"/>
    <w:rsid w:val="00167784"/>
    <w:rsid w:val="00171534"/>
    <w:rsid w:val="0017781B"/>
    <w:rsid w:val="00182843"/>
    <w:rsid w:val="001829EA"/>
    <w:rsid w:val="001848FC"/>
    <w:rsid w:val="00187B8A"/>
    <w:rsid w:val="001A4BAE"/>
    <w:rsid w:val="001A590F"/>
    <w:rsid w:val="001B1573"/>
    <w:rsid w:val="001B2FDD"/>
    <w:rsid w:val="001B4065"/>
    <w:rsid w:val="001B5D48"/>
    <w:rsid w:val="001B6A3A"/>
    <w:rsid w:val="001C5B08"/>
    <w:rsid w:val="001D1357"/>
    <w:rsid w:val="001D18FE"/>
    <w:rsid w:val="001D435A"/>
    <w:rsid w:val="001D6E4C"/>
    <w:rsid w:val="001F0D73"/>
    <w:rsid w:val="00202264"/>
    <w:rsid w:val="00207609"/>
    <w:rsid w:val="00207620"/>
    <w:rsid w:val="00212090"/>
    <w:rsid w:val="00233AA4"/>
    <w:rsid w:val="00245C82"/>
    <w:rsid w:val="00251B5A"/>
    <w:rsid w:val="00253E76"/>
    <w:rsid w:val="00267FEE"/>
    <w:rsid w:val="00276411"/>
    <w:rsid w:val="00276C28"/>
    <w:rsid w:val="00291E62"/>
    <w:rsid w:val="00291EB9"/>
    <w:rsid w:val="00291EFA"/>
    <w:rsid w:val="00292DA7"/>
    <w:rsid w:val="00293DF7"/>
    <w:rsid w:val="002A0970"/>
    <w:rsid w:val="002A3284"/>
    <w:rsid w:val="002B0CBE"/>
    <w:rsid w:val="002B15A8"/>
    <w:rsid w:val="002B4D82"/>
    <w:rsid w:val="002C1B39"/>
    <w:rsid w:val="002C57BD"/>
    <w:rsid w:val="002D2859"/>
    <w:rsid w:val="002D329F"/>
    <w:rsid w:val="002D53A6"/>
    <w:rsid w:val="002D7CC6"/>
    <w:rsid w:val="002E0FC7"/>
    <w:rsid w:val="002E5EAF"/>
    <w:rsid w:val="003023F6"/>
    <w:rsid w:val="00312061"/>
    <w:rsid w:val="00314D55"/>
    <w:rsid w:val="00314EEF"/>
    <w:rsid w:val="003169EC"/>
    <w:rsid w:val="00317784"/>
    <w:rsid w:val="00325789"/>
    <w:rsid w:val="003470F5"/>
    <w:rsid w:val="0035009F"/>
    <w:rsid w:val="003509C5"/>
    <w:rsid w:val="00357D7C"/>
    <w:rsid w:val="00361DE4"/>
    <w:rsid w:val="003623BA"/>
    <w:rsid w:val="00362FEC"/>
    <w:rsid w:val="00373160"/>
    <w:rsid w:val="003913B2"/>
    <w:rsid w:val="00392A70"/>
    <w:rsid w:val="003A3DD4"/>
    <w:rsid w:val="003B16ED"/>
    <w:rsid w:val="003B28EC"/>
    <w:rsid w:val="003B532E"/>
    <w:rsid w:val="003C7377"/>
    <w:rsid w:val="003D1D59"/>
    <w:rsid w:val="003D4795"/>
    <w:rsid w:val="003F5A2A"/>
    <w:rsid w:val="003F7F2E"/>
    <w:rsid w:val="004053D4"/>
    <w:rsid w:val="0041109F"/>
    <w:rsid w:val="00412DE9"/>
    <w:rsid w:val="00414676"/>
    <w:rsid w:val="004150CC"/>
    <w:rsid w:val="004171A4"/>
    <w:rsid w:val="00421F87"/>
    <w:rsid w:val="00425E1B"/>
    <w:rsid w:val="004310B7"/>
    <w:rsid w:val="0043180B"/>
    <w:rsid w:val="0043392E"/>
    <w:rsid w:val="00433EB2"/>
    <w:rsid w:val="004343A6"/>
    <w:rsid w:val="00435EC6"/>
    <w:rsid w:val="0044480C"/>
    <w:rsid w:val="00455D43"/>
    <w:rsid w:val="00462B60"/>
    <w:rsid w:val="0046558A"/>
    <w:rsid w:val="0047181F"/>
    <w:rsid w:val="00471B0F"/>
    <w:rsid w:val="00476290"/>
    <w:rsid w:val="00477121"/>
    <w:rsid w:val="004773F3"/>
    <w:rsid w:val="00480F5D"/>
    <w:rsid w:val="0048470A"/>
    <w:rsid w:val="00486042"/>
    <w:rsid w:val="004923F5"/>
    <w:rsid w:val="004927DC"/>
    <w:rsid w:val="00494F62"/>
    <w:rsid w:val="004A412A"/>
    <w:rsid w:val="004A4E69"/>
    <w:rsid w:val="004A5F31"/>
    <w:rsid w:val="004B2ACC"/>
    <w:rsid w:val="004B424B"/>
    <w:rsid w:val="004B732C"/>
    <w:rsid w:val="004B79E0"/>
    <w:rsid w:val="004C002D"/>
    <w:rsid w:val="004C6035"/>
    <w:rsid w:val="004D1B9E"/>
    <w:rsid w:val="004D3677"/>
    <w:rsid w:val="004D39D5"/>
    <w:rsid w:val="004E0EC8"/>
    <w:rsid w:val="004E466C"/>
    <w:rsid w:val="004F1A24"/>
    <w:rsid w:val="004F2458"/>
    <w:rsid w:val="00504DDB"/>
    <w:rsid w:val="0051022D"/>
    <w:rsid w:val="00515EFD"/>
    <w:rsid w:val="00521D16"/>
    <w:rsid w:val="005229ED"/>
    <w:rsid w:val="0053027C"/>
    <w:rsid w:val="00534CC8"/>
    <w:rsid w:val="005351CB"/>
    <w:rsid w:val="005413C0"/>
    <w:rsid w:val="00543EC1"/>
    <w:rsid w:val="00544734"/>
    <w:rsid w:val="005575F2"/>
    <w:rsid w:val="00560E56"/>
    <w:rsid w:val="00566CC6"/>
    <w:rsid w:val="00572790"/>
    <w:rsid w:val="00573DB1"/>
    <w:rsid w:val="0057468B"/>
    <w:rsid w:val="00577543"/>
    <w:rsid w:val="00582680"/>
    <w:rsid w:val="0058419B"/>
    <w:rsid w:val="00592206"/>
    <w:rsid w:val="00593223"/>
    <w:rsid w:val="005964F5"/>
    <w:rsid w:val="005A22F2"/>
    <w:rsid w:val="005A61F8"/>
    <w:rsid w:val="005B747B"/>
    <w:rsid w:val="005C16C1"/>
    <w:rsid w:val="005C4DF2"/>
    <w:rsid w:val="005D4C13"/>
    <w:rsid w:val="005D4F29"/>
    <w:rsid w:val="005E00B4"/>
    <w:rsid w:val="005E0861"/>
    <w:rsid w:val="005E2BE8"/>
    <w:rsid w:val="005E2DD0"/>
    <w:rsid w:val="005E440B"/>
    <w:rsid w:val="005F40B7"/>
    <w:rsid w:val="005F4CFD"/>
    <w:rsid w:val="005F4E13"/>
    <w:rsid w:val="005F731E"/>
    <w:rsid w:val="00601827"/>
    <w:rsid w:val="00610E43"/>
    <w:rsid w:val="00612013"/>
    <w:rsid w:val="0061237A"/>
    <w:rsid w:val="00616E9F"/>
    <w:rsid w:val="0062051B"/>
    <w:rsid w:val="006209CE"/>
    <w:rsid w:val="0062439D"/>
    <w:rsid w:val="00630E40"/>
    <w:rsid w:val="006313A7"/>
    <w:rsid w:val="006328B0"/>
    <w:rsid w:val="00632B50"/>
    <w:rsid w:val="00632FA1"/>
    <w:rsid w:val="00637633"/>
    <w:rsid w:val="00642B3E"/>
    <w:rsid w:val="006442FC"/>
    <w:rsid w:val="00655549"/>
    <w:rsid w:val="0065568C"/>
    <w:rsid w:val="00665372"/>
    <w:rsid w:val="00670518"/>
    <w:rsid w:val="00672D96"/>
    <w:rsid w:val="00691F3D"/>
    <w:rsid w:val="00693FAC"/>
    <w:rsid w:val="006947D1"/>
    <w:rsid w:val="0069715B"/>
    <w:rsid w:val="006A0BE9"/>
    <w:rsid w:val="006A2FB7"/>
    <w:rsid w:val="006A4B93"/>
    <w:rsid w:val="006B527B"/>
    <w:rsid w:val="006B5728"/>
    <w:rsid w:val="006B6643"/>
    <w:rsid w:val="006B7CB9"/>
    <w:rsid w:val="006C61F0"/>
    <w:rsid w:val="006D0F2F"/>
    <w:rsid w:val="006D194E"/>
    <w:rsid w:val="006D2921"/>
    <w:rsid w:val="006D4619"/>
    <w:rsid w:val="006E56D4"/>
    <w:rsid w:val="006F60DD"/>
    <w:rsid w:val="0070140B"/>
    <w:rsid w:val="00702F81"/>
    <w:rsid w:val="00703255"/>
    <w:rsid w:val="00714B9F"/>
    <w:rsid w:val="00715395"/>
    <w:rsid w:val="00716490"/>
    <w:rsid w:val="007269BD"/>
    <w:rsid w:val="00731C4D"/>
    <w:rsid w:val="00732350"/>
    <w:rsid w:val="00737C06"/>
    <w:rsid w:val="00743817"/>
    <w:rsid w:val="0074540C"/>
    <w:rsid w:val="00746306"/>
    <w:rsid w:val="0075205B"/>
    <w:rsid w:val="0075215A"/>
    <w:rsid w:val="00755931"/>
    <w:rsid w:val="00763826"/>
    <w:rsid w:val="00773A02"/>
    <w:rsid w:val="0077696C"/>
    <w:rsid w:val="00784F73"/>
    <w:rsid w:val="007870F7"/>
    <w:rsid w:val="00795616"/>
    <w:rsid w:val="007A081D"/>
    <w:rsid w:val="007A0BFF"/>
    <w:rsid w:val="007A6A54"/>
    <w:rsid w:val="007A7C48"/>
    <w:rsid w:val="007B05EB"/>
    <w:rsid w:val="007B0F8A"/>
    <w:rsid w:val="007B22E9"/>
    <w:rsid w:val="007B272A"/>
    <w:rsid w:val="007B273F"/>
    <w:rsid w:val="007B2A0E"/>
    <w:rsid w:val="007B3A4E"/>
    <w:rsid w:val="007B6AE4"/>
    <w:rsid w:val="007C29AB"/>
    <w:rsid w:val="007C2E41"/>
    <w:rsid w:val="007C37AB"/>
    <w:rsid w:val="007C38DF"/>
    <w:rsid w:val="007D49D6"/>
    <w:rsid w:val="007E5F38"/>
    <w:rsid w:val="007E6A67"/>
    <w:rsid w:val="007F777A"/>
    <w:rsid w:val="008059B9"/>
    <w:rsid w:val="00813FB4"/>
    <w:rsid w:val="0081498E"/>
    <w:rsid w:val="008179AE"/>
    <w:rsid w:val="00822CAC"/>
    <w:rsid w:val="00826296"/>
    <w:rsid w:val="00834829"/>
    <w:rsid w:val="00840009"/>
    <w:rsid w:val="00840329"/>
    <w:rsid w:val="008449D1"/>
    <w:rsid w:val="00845067"/>
    <w:rsid w:val="00864FED"/>
    <w:rsid w:val="00865703"/>
    <w:rsid w:val="00865920"/>
    <w:rsid w:val="00866BB7"/>
    <w:rsid w:val="008729D5"/>
    <w:rsid w:val="008735BA"/>
    <w:rsid w:val="00876CE5"/>
    <w:rsid w:val="00880818"/>
    <w:rsid w:val="00880EC8"/>
    <w:rsid w:val="00882DBF"/>
    <w:rsid w:val="00883156"/>
    <w:rsid w:val="0088542B"/>
    <w:rsid w:val="008940E3"/>
    <w:rsid w:val="00894BD2"/>
    <w:rsid w:val="0089755C"/>
    <w:rsid w:val="008A0314"/>
    <w:rsid w:val="008A3B4A"/>
    <w:rsid w:val="008A3FB1"/>
    <w:rsid w:val="008B1111"/>
    <w:rsid w:val="008B5B02"/>
    <w:rsid w:val="008B6C9E"/>
    <w:rsid w:val="008D0805"/>
    <w:rsid w:val="008D58C0"/>
    <w:rsid w:val="008E503D"/>
    <w:rsid w:val="008E58BA"/>
    <w:rsid w:val="008F4D57"/>
    <w:rsid w:val="008F5193"/>
    <w:rsid w:val="00900DD1"/>
    <w:rsid w:val="00901418"/>
    <w:rsid w:val="00917B30"/>
    <w:rsid w:val="0092069B"/>
    <w:rsid w:val="00925FE0"/>
    <w:rsid w:val="0093320E"/>
    <w:rsid w:val="009373DA"/>
    <w:rsid w:val="009520DC"/>
    <w:rsid w:val="009552F3"/>
    <w:rsid w:val="009655AA"/>
    <w:rsid w:val="009741FD"/>
    <w:rsid w:val="009769FB"/>
    <w:rsid w:val="0097728F"/>
    <w:rsid w:val="00977BC6"/>
    <w:rsid w:val="00982DE8"/>
    <w:rsid w:val="009938F7"/>
    <w:rsid w:val="009A10BB"/>
    <w:rsid w:val="009A1BA7"/>
    <w:rsid w:val="009A3249"/>
    <w:rsid w:val="009A3A38"/>
    <w:rsid w:val="009A47AD"/>
    <w:rsid w:val="009A50D8"/>
    <w:rsid w:val="009A532D"/>
    <w:rsid w:val="009A7F6E"/>
    <w:rsid w:val="009B2F53"/>
    <w:rsid w:val="009B5F35"/>
    <w:rsid w:val="009B74F9"/>
    <w:rsid w:val="009C5239"/>
    <w:rsid w:val="009E05C5"/>
    <w:rsid w:val="009E4D54"/>
    <w:rsid w:val="009F2259"/>
    <w:rsid w:val="009F75F3"/>
    <w:rsid w:val="009F793B"/>
    <w:rsid w:val="00A034C0"/>
    <w:rsid w:val="00A05DD7"/>
    <w:rsid w:val="00A06510"/>
    <w:rsid w:val="00A14A1D"/>
    <w:rsid w:val="00A17867"/>
    <w:rsid w:val="00A263FE"/>
    <w:rsid w:val="00A267D6"/>
    <w:rsid w:val="00A30953"/>
    <w:rsid w:val="00A40087"/>
    <w:rsid w:val="00A45393"/>
    <w:rsid w:val="00A47B79"/>
    <w:rsid w:val="00A624D0"/>
    <w:rsid w:val="00A633D6"/>
    <w:rsid w:val="00A6354D"/>
    <w:rsid w:val="00A75C18"/>
    <w:rsid w:val="00A80D36"/>
    <w:rsid w:val="00A810B1"/>
    <w:rsid w:val="00A869C2"/>
    <w:rsid w:val="00A93519"/>
    <w:rsid w:val="00A97356"/>
    <w:rsid w:val="00AA0D40"/>
    <w:rsid w:val="00AA1AD2"/>
    <w:rsid w:val="00AA1E59"/>
    <w:rsid w:val="00AA3DEA"/>
    <w:rsid w:val="00AA5DBB"/>
    <w:rsid w:val="00AA637B"/>
    <w:rsid w:val="00AB10A8"/>
    <w:rsid w:val="00AB3AE5"/>
    <w:rsid w:val="00AB4522"/>
    <w:rsid w:val="00AB4565"/>
    <w:rsid w:val="00AB4FD8"/>
    <w:rsid w:val="00AC1A30"/>
    <w:rsid w:val="00AC279C"/>
    <w:rsid w:val="00AC2BE8"/>
    <w:rsid w:val="00AC6BB1"/>
    <w:rsid w:val="00AC7CD3"/>
    <w:rsid w:val="00AD0D56"/>
    <w:rsid w:val="00AD5D19"/>
    <w:rsid w:val="00AD71B5"/>
    <w:rsid w:val="00AE1299"/>
    <w:rsid w:val="00AE23E0"/>
    <w:rsid w:val="00AE2630"/>
    <w:rsid w:val="00AE3112"/>
    <w:rsid w:val="00AE3CDC"/>
    <w:rsid w:val="00AF2ACF"/>
    <w:rsid w:val="00AF349D"/>
    <w:rsid w:val="00AF3FFC"/>
    <w:rsid w:val="00AF71BA"/>
    <w:rsid w:val="00B02E30"/>
    <w:rsid w:val="00B07202"/>
    <w:rsid w:val="00B13C6A"/>
    <w:rsid w:val="00B15A6C"/>
    <w:rsid w:val="00B1628E"/>
    <w:rsid w:val="00B1685E"/>
    <w:rsid w:val="00B16896"/>
    <w:rsid w:val="00B20FD0"/>
    <w:rsid w:val="00B2182F"/>
    <w:rsid w:val="00B2280D"/>
    <w:rsid w:val="00B309AB"/>
    <w:rsid w:val="00B33EB3"/>
    <w:rsid w:val="00B36047"/>
    <w:rsid w:val="00B4526E"/>
    <w:rsid w:val="00B45DBD"/>
    <w:rsid w:val="00B47E12"/>
    <w:rsid w:val="00B715E9"/>
    <w:rsid w:val="00B719BA"/>
    <w:rsid w:val="00B725FF"/>
    <w:rsid w:val="00B72D5A"/>
    <w:rsid w:val="00B756DA"/>
    <w:rsid w:val="00B77660"/>
    <w:rsid w:val="00B82281"/>
    <w:rsid w:val="00B846E9"/>
    <w:rsid w:val="00B86E45"/>
    <w:rsid w:val="00B93BEA"/>
    <w:rsid w:val="00BA07FD"/>
    <w:rsid w:val="00BA090B"/>
    <w:rsid w:val="00BA3DDB"/>
    <w:rsid w:val="00BA3E38"/>
    <w:rsid w:val="00BA4EF5"/>
    <w:rsid w:val="00BB53B5"/>
    <w:rsid w:val="00BC6460"/>
    <w:rsid w:val="00BD1571"/>
    <w:rsid w:val="00BD398F"/>
    <w:rsid w:val="00BE4485"/>
    <w:rsid w:val="00BF092E"/>
    <w:rsid w:val="00BF28E1"/>
    <w:rsid w:val="00BF6680"/>
    <w:rsid w:val="00C03F30"/>
    <w:rsid w:val="00C11641"/>
    <w:rsid w:val="00C16798"/>
    <w:rsid w:val="00C21299"/>
    <w:rsid w:val="00C212A7"/>
    <w:rsid w:val="00C2321A"/>
    <w:rsid w:val="00C2655B"/>
    <w:rsid w:val="00C275DA"/>
    <w:rsid w:val="00C40A36"/>
    <w:rsid w:val="00C43349"/>
    <w:rsid w:val="00C46B62"/>
    <w:rsid w:val="00C4709B"/>
    <w:rsid w:val="00C47FCD"/>
    <w:rsid w:val="00C65F94"/>
    <w:rsid w:val="00C66FA3"/>
    <w:rsid w:val="00C85D66"/>
    <w:rsid w:val="00C87E39"/>
    <w:rsid w:val="00C954F1"/>
    <w:rsid w:val="00CA2C10"/>
    <w:rsid w:val="00CA6509"/>
    <w:rsid w:val="00CB1568"/>
    <w:rsid w:val="00CB25BD"/>
    <w:rsid w:val="00CC2E45"/>
    <w:rsid w:val="00CC4DBC"/>
    <w:rsid w:val="00CC55CD"/>
    <w:rsid w:val="00CC7921"/>
    <w:rsid w:val="00CD28E5"/>
    <w:rsid w:val="00CD4E84"/>
    <w:rsid w:val="00CD5FD0"/>
    <w:rsid w:val="00CD6AD1"/>
    <w:rsid w:val="00CE3F6D"/>
    <w:rsid w:val="00CF3FED"/>
    <w:rsid w:val="00CF5F8C"/>
    <w:rsid w:val="00D05C31"/>
    <w:rsid w:val="00D12894"/>
    <w:rsid w:val="00D1493A"/>
    <w:rsid w:val="00D31263"/>
    <w:rsid w:val="00D323EC"/>
    <w:rsid w:val="00D333E5"/>
    <w:rsid w:val="00D35DAE"/>
    <w:rsid w:val="00D42A83"/>
    <w:rsid w:val="00D46FB8"/>
    <w:rsid w:val="00D53C31"/>
    <w:rsid w:val="00D56030"/>
    <w:rsid w:val="00D63CFA"/>
    <w:rsid w:val="00D72F5E"/>
    <w:rsid w:val="00D7350A"/>
    <w:rsid w:val="00D86D97"/>
    <w:rsid w:val="00D9698D"/>
    <w:rsid w:val="00D97114"/>
    <w:rsid w:val="00D97A82"/>
    <w:rsid w:val="00DA0368"/>
    <w:rsid w:val="00DA11C2"/>
    <w:rsid w:val="00DA54A7"/>
    <w:rsid w:val="00DA58F8"/>
    <w:rsid w:val="00DB0C32"/>
    <w:rsid w:val="00DB7393"/>
    <w:rsid w:val="00DC1A48"/>
    <w:rsid w:val="00DC440D"/>
    <w:rsid w:val="00DC67BD"/>
    <w:rsid w:val="00DE3766"/>
    <w:rsid w:val="00DE7909"/>
    <w:rsid w:val="00DF039A"/>
    <w:rsid w:val="00DF059E"/>
    <w:rsid w:val="00DF4971"/>
    <w:rsid w:val="00E02BAB"/>
    <w:rsid w:val="00E038EE"/>
    <w:rsid w:val="00E05431"/>
    <w:rsid w:val="00E076A4"/>
    <w:rsid w:val="00E1516C"/>
    <w:rsid w:val="00E2069E"/>
    <w:rsid w:val="00E21A6B"/>
    <w:rsid w:val="00E23152"/>
    <w:rsid w:val="00E24EE5"/>
    <w:rsid w:val="00E257F6"/>
    <w:rsid w:val="00E34703"/>
    <w:rsid w:val="00E37C50"/>
    <w:rsid w:val="00E37D23"/>
    <w:rsid w:val="00E43A33"/>
    <w:rsid w:val="00E47927"/>
    <w:rsid w:val="00E47C8B"/>
    <w:rsid w:val="00E5033F"/>
    <w:rsid w:val="00E54E85"/>
    <w:rsid w:val="00E65484"/>
    <w:rsid w:val="00E769CB"/>
    <w:rsid w:val="00E86B0E"/>
    <w:rsid w:val="00E92678"/>
    <w:rsid w:val="00E948E8"/>
    <w:rsid w:val="00EA214F"/>
    <w:rsid w:val="00EA5398"/>
    <w:rsid w:val="00EB1258"/>
    <w:rsid w:val="00EB2DB0"/>
    <w:rsid w:val="00EB33B1"/>
    <w:rsid w:val="00EC0099"/>
    <w:rsid w:val="00EC5C9D"/>
    <w:rsid w:val="00ED12BC"/>
    <w:rsid w:val="00ED4769"/>
    <w:rsid w:val="00EE044B"/>
    <w:rsid w:val="00EE3181"/>
    <w:rsid w:val="00EE79AB"/>
    <w:rsid w:val="00F02475"/>
    <w:rsid w:val="00F0579E"/>
    <w:rsid w:val="00F06417"/>
    <w:rsid w:val="00F13AED"/>
    <w:rsid w:val="00F13D5C"/>
    <w:rsid w:val="00F20B66"/>
    <w:rsid w:val="00F24C5A"/>
    <w:rsid w:val="00F24D7B"/>
    <w:rsid w:val="00F305BE"/>
    <w:rsid w:val="00F3509E"/>
    <w:rsid w:val="00F408FC"/>
    <w:rsid w:val="00F41D5C"/>
    <w:rsid w:val="00F42757"/>
    <w:rsid w:val="00F449FA"/>
    <w:rsid w:val="00F55D7B"/>
    <w:rsid w:val="00F6116A"/>
    <w:rsid w:val="00F61719"/>
    <w:rsid w:val="00F62CA1"/>
    <w:rsid w:val="00F657CA"/>
    <w:rsid w:val="00F6780D"/>
    <w:rsid w:val="00F67F29"/>
    <w:rsid w:val="00F7104C"/>
    <w:rsid w:val="00F801BE"/>
    <w:rsid w:val="00F808AE"/>
    <w:rsid w:val="00F85AE3"/>
    <w:rsid w:val="00F90FE4"/>
    <w:rsid w:val="00F97090"/>
    <w:rsid w:val="00FA3E25"/>
    <w:rsid w:val="00FA3E6A"/>
    <w:rsid w:val="00FA6482"/>
    <w:rsid w:val="00FA6F7B"/>
    <w:rsid w:val="00FB1F64"/>
    <w:rsid w:val="00FB2297"/>
    <w:rsid w:val="00FB4442"/>
    <w:rsid w:val="00FD4C2D"/>
    <w:rsid w:val="00FE03D1"/>
    <w:rsid w:val="00FE1912"/>
    <w:rsid w:val="00FE2843"/>
    <w:rsid w:val="00FE6088"/>
    <w:rsid w:val="00FF2070"/>
    <w:rsid w:val="00FF3E85"/>
    <w:rsid w:val="00FF48B7"/>
    <w:rsid w:val="00FF746E"/>
    <w:rsid w:val="017824EB"/>
    <w:rsid w:val="02066367"/>
    <w:rsid w:val="02A75FE3"/>
    <w:rsid w:val="030206C1"/>
    <w:rsid w:val="033A6519"/>
    <w:rsid w:val="04D66555"/>
    <w:rsid w:val="05075E44"/>
    <w:rsid w:val="059109FB"/>
    <w:rsid w:val="05C32DD0"/>
    <w:rsid w:val="068D2225"/>
    <w:rsid w:val="06EF509E"/>
    <w:rsid w:val="073B4934"/>
    <w:rsid w:val="078A4D83"/>
    <w:rsid w:val="07AF760A"/>
    <w:rsid w:val="0A0A0DF5"/>
    <w:rsid w:val="0AF46A3A"/>
    <w:rsid w:val="0B0926F0"/>
    <w:rsid w:val="0B3F0915"/>
    <w:rsid w:val="0B4D6E82"/>
    <w:rsid w:val="0B5B3B00"/>
    <w:rsid w:val="0B81728A"/>
    <w:rsid w:val="0BC25D2F"/>
    <w:rsid w:val="0CA368BA"/>
    <w:rsid w:val="0CDC5067"/>
    <w:rsid w:val="0CE87E0A"/>
    <w:rsid w:val="0D3A6BF1"/>
    <w:rsid w:val="0E734A9C"/>
    <w:rsid w:val="0E7C4B84"/>
    <w:rsid w:val="0E800A3B"/>
    <w:rsid w:val="0F2045BF"/>
    <w:rsid w:val="10736C4E"/>
    <w:rsid w:val="108E3E15"/>
    <w:rsid w:val="10D814B8"/>
    <w:rsid w:val="118D7DE0"/>
    <w:rsid w:val="11954F48"/>
    <w:rsid w:val="11E5172E"/>
    <w:rsid w:val="138834BB"/>
    <w:rsid w:val="13DF5509"/>
    <w:rsid w:val="14092B67"/>
    <w:rsid w:val="147B1B77"/>
    <w:rsid w:val="14CC7804"/>
    <w:rsid w:val="14FC6045"/>
    <w:rsid w:val="15104592"/>
    <w:rsid w:val="15DA608E"/>
    <w:rsid w:val="180E63E8"/>
    <w:rsid w:val="1A48655A"/>
    <w:rsid w:val="1A6F4860"/>
    <w:rsid w:val="1AB97F6E"/>
    <w:rsid w:val="1BC679DD"/>
    <w:rsid w:val="1C3D4983"/>
    <w:rsid w:val="1D483714"/>
    <w:rsid w:val="1E406DCB"/>
    <w:rsid w:val="1E7B3E32"/>
    <w:rsid w:val="1EC2621D"/>
    <w:rsid w:val="1F9B29EA"/>
    <w:rsid w:val="1FEE7E89"/>
    <w:rsid w:val="204733B5"/>
    <w:rsid w:val="20861BF4"/>
    <w:rsid w:val="210052A5"/>
    <w:rsid w:val="22461810"/>
    <w:rsid w:val="2473037C"/>
    <w:rsid w:val="24AE52F1"/>
    <w:rsid w:val="24CA0E62"/>
    <w:rsid w:val="25E47D89"/>
    <w:rsid w:val="274136ED"/>
    <w:rsid w:val="27D60CB6"/>
    <w:rsid w:val="28BD7ADE"/>
    <w:rsid w:val="28BF4A03"/>
    <w:rsid w:val="28D74F06"/>
    <w:rsid w:val="29835A7C"/>
    <w:rsid w:val="299C06C1"/>
    <w:rsid w:val="2A9C1A03"/>
    <w:rsid w:val="2AE679C4"/>
    <w:rsid w:val="2AEA434B"/>
    <w:rsid w:val="2AFF1572"/>
    <w:rsid w:val="2B9B785C"/>
    <w:rsid w:val="2BFF1F93"/>
    <w:rsid w:val="2C8837D8"/>
    <w:rsid w:val="2CBB1240"/>
    <w:rsid w:val="2D197919"/>
    <w:rsid w:val="2DA85376"/>
    <w:rsid w:val="2F000F84"/>
    <w:rsid w:val="2FF43186"/>
    <w:rsid w:val="305D12C3"/>
    <w:rsid w:val="338D2782"/>
    <w:rsid w:val="33C23C91"/>
    <w:rsid w:val="33F03B88"/>
    <w:rsid w:val="342A7AEF"/>
    <w:rsid w:val="34DF3237"/>
    <w:rsid w:val="36CD6DF6"/>
    <w:rsid w:val="382A5C23"/>
    <w:rsid w:val="389A6432"/>
    <w:rsid w:val="3997561A"/>
    <w:rsid w:val="3A715351"/>
    <w:rsid w:val="3A9F25BE"/>
    <w:rsid w:val="3B82062D"/>
    <w:rsid w:val="3BAD33C4"/>
    <w:rsid w:val="3BC51507"/>
    <w:rsid w:val="3D0B6256"/>
    <w:rsid w:val="3D5234EE"/>
    <w:rsid w:val="3D624F5B"/>
    <w:rsid w:val="3F5C5ECC"/>
    <w:rsid w:val="40BF5251"/>
    <w:rsid w:val="410E19EB"/>
    <w:rsid w:val="421E6F0F"/>
    <w:rsid w:val="431D699E"/>
    <w:rsid w:val="436D69EC"/>
    <w:rsid w:val="436E7B32"/>
    <w:rsid w:val="438D7E12"/>
    <w:rsid w:val="43AB02B3"/>
    <w:rsid w:val="43D00B8D"/>
    <w:rsid w:val="459F0A92"/>
    <w:rsid w:val="45A54349"/>
    <w:rsid w:val="461524F4"/>
    <w:rsid w:val="468328E1"/>
    <w:rsid w:val="480F0494"/>
    <w:rsid w:val="4962650E"/>
    <w:rsid w:val="4A01552D"/>
    <w:rsid w:val="4A1A4E17"/>
    <w:rsid w:val="4A335F8F"/>
    <w:rsid w:val="4AD67134"/>
    <w:rsid w:val="4BC123CC"/>
    <w:rsid w:val="4C7E2EAC"/>
    <w:rsid w:val="4DCD352E"/>
    <w:rsid w:val="4E0C4040"/>
    <w:rsid w:val="4FE77010"/>
    <w:rsid w:val="50D0229D"/>
    <w:rsid w:val="5181330B"/>
    <w:rsid w:val="51B45EED"/>
    <w:rsid w:val="521C70AB"/>
    <w:rsid w:val="53772DF7"/>
    <w:rsid w:val="54231712"/>
    <w:rsid w:val="54524581"/>
    <w:rsid w:val="557E2D04"/>
    <w:rsid w:val="55A96FED"/>
    <w:rsid w:val="55B50FAE"/>
    <w:rsid w:val="565F7F6E"/>
    <w:rsid w:val="56EE5D2C"/>
    <w:rsid w:val="579326E4"/>
    <w:rsid w:val="58AA7C62"/>
    <w:rsid w:val="5A863583"/>
    <w:rsid w:val="5B4A78E8"/>
    <w:rsid w:val="5B677D86"/>
    <w:rsid w:val="5B730207"/>
    <w:rsid w:val="5C702EDA"/>
    <w:rsid w:val="5C727DC8"/>
    <w:rsid w:val="5D085D3F"/>
    <w:rsid w:val="5E085E25"/>
    <w:rsid w:val="5E4F39C2"/>
    <w:rsid w:val="5ED252F0"/>
    <w:rsid w:val="5EF83DC0"/>
    <w:rsid w:val="5FB337FF"/>
    <w:rsid w:val="5FB85E27"/>
    <w:rsid w:val="60963976"/>
    <w:rsid w:val="60A9563D"/>
    <w:rsid w:val="60D62F6E"/>
    <w:rsid w:val="6134528A"/>
    <w:rsid w:val="61B06517"/>
    <w:rsid w:val="6486109A"/>
    <w:rsid w:val="64FA7AFD"/>
    <w:rsid w:val="65D66D4F"/>
    <w:rsid w:val="65ED4C7A"/>
    <w:rsid w:val="65FF296B"/>
    <w:rsid w:val="665A4B7F"/>
    <w:rsid w:val="67DD51DE"/>
    <w:rsid w:val="68494F24"/>
    <w:rsid w:val="69851EB3"/>
    <w:rsid w:val="69EE7D1F"/>
    <w:rsid w:val="6A516F77"/>
    <w:rsid w:val="6A9518B4"/>
    <w:rsid w:val="6BFF66BD"/>
    <w:rsid w:val="6C790778"/>
    <w:rsid w:val="6DA66700"/>
    <w:rsid w:val="6E5D3EB2"/>
    <w:rsid w:val="6F733520"/>
    <w:rsid w:val="70035BC3"/>
    <w:rsid w:val="708B48FF"/>
    <w:rsid w:val="71710CBE"/>
    <w:rsid w:val="731D4CF0"/>
    <w:rsid w:val="73964B8D"/>
    <w:rsid w:val="75532818"/>
    <w:rsid w:val="764F78AA"/>
    <w:rsid w:val="77C67A87"/>
    <w:rsid w:val="78D417FF"/>
    <w:rsid w:val="79AE2310"/>
    <w:rsid w:val="79F85182"/>
    <w:rsid w:val="7A6956A1"/>
    <w:rsid w:val="7AB63C0B"/>
    <w:rsid w:val="7ADD599E"/>
    <w:rsid w:val="7B2E4DF5"/>
    <w:rsid w:val="7B3B64A5"/>
    <w:rsid w:val="7CFA14F9"/>
    <w:rsid w:val="7DB9647C"/>
    <w:rsid w:val="7DDE7B6F"/>
    <w:rsid w:val="7F3272D8"/>
    <w:rsid w:val="7F5D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1"/>
    <w:next w:val="1"/>
    <w:link w:val="38"/>
    <w:qFormat/>
    <w:uiPriority w:val="0"/>
    <w:pPr>
      <w:keepNext/>
      <w:keepLines/>
      <w:spacing w:before="120" w:after="120"/>
      <w:outlineLvl w:val="0"/>
    </w:pPr>
    <w:rPr>
      <w:rFonts w:eastAsia="黑体" w:asciiTheme="minorHAnsi" w:hAnsiTheme="minorHAnsi" w:cstheme="minorBidi"/>
      <w:b/>
      <w:bCs/>
      <w:kern w:val="44"/>
      <w:sz w:val="32"/>
      <w:szCs w:val="44"/>
      <w:lang w:val="en-US" w:eastAsia="zh-CN" w:bidi="ar-SA"/>
    </w:rPr>
  </w:style>
  <w:style w:type="paragraph" w:styleId="3">
    <w:name w:val="heading 2"/>
    <w:next w:val="1"/>
    <w:link w:val="34"/>
    <w:unhideWhenUsed/>
    <w:qFormat/>
    <w:uiPriority w:val="0"/>
    <w:pPr>
      <w:keepNext/>
      <w:keepLines/>
      <w:spacing w:before="120" w:after="120"/>
      <w:outlineLvl w:val="1"/>
    </w:pPr>
    <w:rPr>
      <w:rFonts w:eastAsia="黑体" w:asciiTheme="majorHAnsi" w:hAnsiTheme="majorHAnsi" w:cstheme="majorBidi"/>
      <w:b/>
      <w:bCs/>
      <w:kern w:val="2"/>
      <w:sz w:val="32"/>
      <w:szCs w:val="32"/>
      <w:lang w:val="en-US" w:eastAsia="zh-CN" w:bidi="ar-SA"/>
    </w:rPr>
  </w:style>
  <w:style w:type="paragraph" w:styleId="4">
    <w:name w:val="heading 3"/>
    <w:next w:val="1"/>
    <w:link w:val="35"/>
    <w:unhideWhenUsed/>
    <w:qFormat/>
    <w:uiPriority w:val="9"/>
    <w:pPr>
      <w:keepNext/>
      <w:keepLines/>
      <w:spacing w:before="120" w:after="120"/>
      <w:outlineLvl w:val="2"/>
    </w:pPr>
    <w:rPr>
      <w:rFonts w:eastAsia="华文楷体" w:asciiTheme="minorHAnsi" w:hAnsiTheme="minorHAnsi" w:cstheme="minorBidi"/>
      <w:b/>
      <w:bCs/>
      <w:kern w:val="2"/>
      <w:sz w:val="32"/>
      <w:szCs w:val="32"/>
      <w:lang w:val="en-US" w:eastAsia="zh-CN" w:bidi="ar-SA"/>
    </w:rPr>
  </w:style>
  <w:style w:type="paragraph" w:styleId="5">
    <w:name w:val="heading 4"/>
    <w:basedOn w:val="1"/>
    <w:next w:val="1"/>
    <w:link w:val="42"/>
    <w:unhideWhenUsed/>
    <w:qFormat/>
    <w:uiPriority w:val="0"/>
    <w:pPr>
      <w:keepNext/>
      <w:keepLines/>
      <w:spacing w:before="280" w:after="290" w:line="376" w:lineRule="auto"/>
      <w:outlineLvl w:val="3"/>
    </w:pPr>
    <w:rPr>
      <w:rFonts w:eastAsia="宋体" w:asciiTheme="majorHAnsi" w:hAnsiTheme="majorHAnsi" w:cstheme="majorBidi"/>
      <w:b/>
      <w:bCs/>
      <w:szCs w:val="28"/>
    </w:rPr>
  </w:style>
  <w:style w:type="paragraph" w:styleId="6">
    <w:name w:val="heading 5"/>
    <w:basedOn w:val="1"/>
    <w:next w:val="1"/>
    <w:link w:val="43"/>
    <w:qFormat/>
    <w:uiPriority w:val="0"/>
    <w:pPr>
      <w:keepNext/>
      <w:keepLines/>
      <w:spacing w:before="280" w:after="290" w:line="376" w:lineRule="auto"/>
      <w:ind w:firstLine="0" w:firstLineChars="0"/>
      <w:outlineLvl w:val="4"/>
    </w:pPr>
    <w:rPr>
      <w:rFonts w:ascii="宋体" w:hAnsi="Times New Roman" w:eastAsia="宋体" w:cs="Times New Roman"/>
      <w:b/>
      <w:bCs/>
      <w:kern w:val="0"/>
      <w:szCs w:val="28"/>
    </w:rPr>
  </w:style>
  <w:style w:type="paragraph" w:styleId="7">
    <w:name w:val="heading 6"/>
    <w:basedOn w:val="1"/>
    <w:next w:val="1"/>
    <w:link w:val="44"/>
    <w:qFormat/>
    <w:uiPriority w:val="0"/>
    <w:pPr>
      <w:keepNext/>
      <w:keepLines/>
      <w:spacing w:before="240" w:after="64" w:line="320" w:lineRule="auto"/>
      <w:ind w:firstLine="0" w:firstLineChars="0"/>
      <w:outlineLvl w:val="5"/>
    </w:pPr>
    <w:rPr>
      <w:rFonts w:ascii="Arial" w:hAnsi="Arial" w:eastAsia="黑体" w:cs="Times New Roman"/>
      <w:b/>
      <w:bCs/>
      <w:kern w:val="0"/>
      <w:sz w:val="24"/>
      <w:szCs w:val="24"/>
    </w:rPr>
  </w:style>
  <w:style w:type="paragraph" w:styleId="8">
    <w:name w:val="heading 7"/>
    <w:basedOn w:val="1"/>
    <w:next w:val="1"/>
    <w:link w:val="45"/>
    <w:qFormat/>
    <w:uiPriority w:val="0"/>
    <w:pPr>
      <w:keepNext/>
      <w:keepLines/>
      <w:spacing w:before="240" w:after="64" w:line="320" w:lineRule="auto"/>
      <w:ind w:firstLine="454" w:firstLineChars="0"/>
      <w:outlineLvl w:val="6"/>
    </w:pPr>
    <w:rPr>
      <w:rFonts w:ascii="宋体" w:hAnsi="Times New Roman" w:eastAsia="宋体" w:cs="Times New Roman"/>
      <w:b/>
      <w:bCs/>
      <w:kern w:val="0"/>
      <w:sz w:val="24"/>
      <w:szCs w:val="24"/>
    </w:rPr>
  </w:style>
  <w:style w:type="paragraph" w:styleId="9">
    <w:name w:val="heading 8"/>
    <w:basedOn w:val="1"/>
    <w:next w:val="1"/>
    <w:link w:val="46"/>
    <w:qFormat/>
    <w:uiPriority w:val="0"/>
    <w:pPr>
      <w:keepNext/>
      <w:keepLines/>
      <w:spacing w:before="240" w:after="64" w:line="320" w:lineRule="auto"/>
      <w:ind w:firstLine="567" w:firstLineChars="0"/>
      <w:outlineLvl w:val="7"/>
    </w:pPr>
    <w:rPr>
      <w:rFonts w:ascii="Arial" w:hAnsi="Arial" w:eastAsia="黑体" w:cs="Times New Roman"/>
      <w:kern w:val="0"/>
      <w:sz w:val="24"/>
      <w:szCs w:val="24"/>
    </w:rPr>
  </w:style>
  <w:style w:type="paragraph" w:styleId="10">
    <w:name w:val="heading 9"/>
    <w:basedOn w:val="1"/>
    <w:next w:val="1"/>
    <w:link w:val="47"/>
    <w:qFormat/>
    <w:uiPriority w:val="0"/>
    <w:pPr>
      <w:keepNext/>
      <w:keepLines/>
      <w:spacing w:before="240" w:after="64" w:line="320" w:lineRule="auto"/>
      <w:ind w:firstLine="680" w:firstLineChars="0"/>
      <w:outlineLvl w:val="8"/>
    </w:pPr>
    <w:rPr>
      <w:rFonts w:ascii="Arial" w:hAnsi="Arial" w:eastAsia="黑体" w:cs="Times New Roman"/>
      <w:kern w:val="0"/>
      <w:sz w:val="21"/>
      <w:szCs w:val="21"/>
    </w:rPr>
  </w:style>
  <w:style w:type="character" w:default="1" w:styleId="29">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99"/>
    <w:pPr>
      <w:ind w:firstLine="420"/>
    </w:pPr>
    <w:rPr>
      <w:rFonts w:eastAsia="宋体"/>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annotation text"/>
    <w:basedOn w:val="1"/>
    <w:link w:val="55"/>
    <w:unhideWhenUsed/>
    <w:qFormat/>
    <w:uiPriority w:val="99"/>
    <w:pPr>
      <w:jc w:val="left"/>
    </w:pPr>
    <w:rPr>
      <w:rFonts w:eastAsia="宋体"/>
      <w:szCs w:val="21"/>
    </w:rPr>
  </w:style>
  <w:style w:type="paragraph" w:styleId="14">
    <w:name w:val="toc 3"/>
    <w:basedOn w:val="1"/>
    <w:next w:val="1"/>
    <w:unhideWhenUsed/>
    <w:qFormat/>
    <w:uiPriority w:val="39"/>
    <w:pPr>
      <w:tabs>
        <w:tab w:val="right" w:leader="dot" w:pos="8296"/>
      </w:tabs>
      <w:ind w:left="1120" w:leftChars="400" w:firstLine="0" w:firstLineChars="0"/>
    </w:pPr>
    <w:rPr>
      <w:rFonts w:eastAsia="宋体"/>
      <w:szCs w:val="21"/>
    </w:rPr>
  </w:style>
  <w:style w:type="paragraph" w:styleId="15">
    <w:name w:val="Plain Text"/>
    <w:basedOn w:val="1"/>
    <w:link w:val="51"/>
    <w:qFormat/>
    <w:uiPriority w:val="99"/>
    <w:pPr>
      <w:spacing w:line="240" w:lineRule="auto"/>
      <w:ind w:firstLine="0" w:firstLineChars="0"/>
    </w:pPr>
    <w:rPr>
      <w:rFonts w:ascii="宋体" w:hAnsi="Courier New" w:eastAsia="宋体" w:cs="宋体"/>
      <w:sz w:val="21"/>
      <w:szCs w:val="21"/>
    </w:rPr>
  </w:style>
  <w:style w:type="paragraph" w:styleId="16">
    <w:name w:val="Date"/>
    <w:basedOn w:val="1"/>
    <w:next w:val="1"/>
    <w:link w:val="78"/>
    <w:unhideWhenUsed/>
    <w:qFormat/>
    <w:uiPriority w:val="99"/>
    <w:pPr>
      <w:ind w:left="100" w:leftChars="2500"/>
    </w:pPr>
    <w:rPr>
      <w:rFonts w:ascii="Times New Roman" w:hAnsi="Times New Roman" w:eastAsia="宋体" w:cs="Times New Roman"/>
      <w:szCs w:val="20"/>
    </w:rPr>
  </w:style>
  <w:style w:type="paragraph" w:styleId="17">
    <w:name w:val="Balloon Text"/>
    <w:basedOn w:val="1"/>
    <w:link w:val="54"/>
    <w:unhideWhenUsed/>
    <w:qFormat/>
    <w:uiPriority w:val="99"/>
    <w:pPr>
      <w:spacing w:line="240" w:lineRule="auto"/>
    </w:pPr>
    <w:rPr>
      <w:rFonts w:eastAsia="宋体"/>
      <w:sz w:val="18"/>
      <w:szCs w:val="18"/>
    </w:rPr>
  </w:style>
  <w:style w:type="paragraph" w:styleId="18">
    <w:name w:val="footer"/>
    <w:basedOn w:val="1"/>
    <w:link w:val="49"/>
    <w:unhideWhenUsed/>
    <w:qFormat/>
    <w:uiPriority w:val="99"/>
    <w:pPr>
      <w:tabs>
        <w:tab w:val="center" w:pos="4153"/>
        <w:tab w:val="right" w:pos="8306"/>
      </w:tabs>
      <w:snapToGrid w:val="0"/>
      <w:spacing w:line="240" w:lineRule="auto"/>
      <w:jc w:val="left"/>
    </w:pPr>
    <w:rPr>
      <w:rFonts w:eastAsia="宋体"/>
      <w:sz w:val="18"/>
      <w:szCs w:val="18"/>
    </w:rPr>
  </w:style>
  <w:style w:type="paragraph" w:styleId="19">
    <w:name w:val="header"/>
    <w:basedOn w:val="1"/>
    <w:link w:val="48"/>
    <w:unhideWhenUsed/>
    <w:qFormat/>
    <w:uiPriority w:val="99"/>
    <w:pPr>
      <w:pBdr>
        <w:bottom w:val="single" w:color="auto" w:sz="6" w:space="1"/>
      </w:pBdr>
      <w:tabs>
        <w:tab w:val="center" w:pos="4153"/>
        <w:tab w:val="right" w:pos="8306"/>
      </w:tabs>
      <w:snapToGrid w:val="0"/>
      <w:spacing w:line="240" w:lineRule="auto"/>
      <w:jc w:val="center"/>
    </w:pPr>
    <w:rPr>
      <w:rFonts w:eastAsia="宋体"/>
      <w:sz w:val="18"/>
      <w:szCs w:val="18"/>
    </w:rPr>
  </w:style>
  <w:style w:type="paragraph" w:styleId="20">
    <w:name w:val="toc 1"/>
    <w:basedOn w:val="1"/>
    <w:next w:val="1"/>
    <w:unhideWhenUsed/>
    <w:qFormat/>
    <w:uiPriority w:val="39"/>
    <w:pPr>
      <w:tabs>
        <w:tab w:val="right" w:leader="dot" w:pos="8296"/>
      </w:tabs>
      <w:ind w:firstLine="0" w:firstLineChars="0"/>
    </w:pPr>
    <w:rPr>
      <w:szCs w:val="21"/>
    </w:rPr>
  </w:style>
  <w:style w:type="paragraph" w:styleId="21">
    <w:name w:val="toc 2"/>
    <w:basedOn w:val="1"/>
    <w:next w:val="1"/>
    <w:unhideWhenUsed/>
    <w:qFormat/>
    <w:uiPriority w:val="39"/>
    <w:pPr>
      <w:tabs>
        <w:tab w:val="right" w:leader="dot" w:pos="8296"/>
      </w:tabs>
      <w:ind w:left="560" w:leftChars="200" w:firstLine="0" w:firstLineChars="0"/>
    </w:pPr>
    <w:rPr>
      <w:szCs w:val="21"/>
    </w:rPr>
  </w:style>
  <w:style w:type="paragraph" w:styleId="22">
    <w:name w:val="HTML Preformatted"/>
    <w:basedOn w:val="1"/>
    <w:link w:val="14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23">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styleId="24">
    <w:name w:val="Title"/>
    <w:basedOn w:val="1"/>
    <w:next w:val="1"/>
    <w:link w:val="37"/>
    <w:qFormat/>
    <w:uiPriority w:val="10"/>
    <w:pPr>
      <w:spacing w:before="240" w:after="60"/>
      <w:jc w:val="center"/>
      <w:outlineLvl w:val="0"/>
    </w:pPr>
    <w:rPr>
      <w:rFonts w:asciiTheme="majorHAnsi" w:hAnsiTheme="majorHAnsi" w:eastAsiaTheme="majorEastAsia" w:cstheme="majorBidi"/>
      <w:b/>
      <w:bCs/>
      <w:szCs w:val="32"/>
    </w:rPr>
  </w:style>
  <w:style w:type="paragraph" w:styleId="25">
    <w:name w:val="annotation subject"/>
    <w:basedOn w:val="13"/>
    <w:next w:val="13"/>
    <w:link w:val="56"/>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8">
    <w:name w:val="Light List Accent 3"/>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blPr>
        <w:tblLayout w:type="fixed"/>
      </w:tblPr>
      <w:tcPr>
        <w:shd w:val="clear" w:color="auto" w:fill="A5A5A5" w:themeFill="accent3"/>
      </w:tcPr>
    </w:tblStylePr>
    <w:tblStylePr w:type="lastRow">
      <w:pPr>
        <w:spacing w:before="0" w:after="0" w:line="240" w:lineRule="auto"/>
      </w:pPr>
      <w:rPr>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character" w:styleId="30">
    <w:name w:val="Strong"/>
    <w:basedOn w:val="29"/>
    <w:qFormat/>
    <w:uiPriority w:val="22"/>
    <w:rPr>
      <w:b/>
      <w:bCs/>
    </w:rPr>
  </w:style>
  <w:style w:type="character" w:styleId="31">
    <w:name w:val="FollowedHyperlink"/>
    <w:basedOn w:val="29"/>
    <w:unhideWhenUsed/>
    <w:qFormat/>
    <w:uiPriority w:val="99"/>
    <w:rPr>
      <w:color w:val="954F72"/>
      <w:u w:val="single"/>
    </w:rPr>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unhideWhenUsed/>
    <w:qFormat/>
    <w:uiPriority w:val="99"/>
    <w:rPr>
      <w:sz w:val="21"/>
      <w:szCs w:val="21"/>
    </w:rPr>
  </w:style>
  <w:style w:type="character" w:customStyle="1" w:styleId="34">
    <w:name w:val="标题 2 字符"/>
    <w:basedOn w:val="29"/>
    <w:link w:val="3"/>
    <w:qFormat/>
    <w:uiPriority w:val="0"/>
    <w:rPr>
      <w:rFonts w:eastAsia="黑体" w:asciiTheme="majorHAnsi" w:hAnsiTheme="majorHAnsi" w:cstheme="majorBidi"/>
      <w:b/>
      <w:bCs/>
      <w:sz w:val="32"/>
      <w:szCs w:val="32"/>
    </w:rPr>
  </w:style>
  <w:style w:type="character" w:customStyle="1" w:styleId="35">
    <w:name w:val="标题 3 字符"/>
    <w:basedOn w:val="29"/>
    <w:link w:val="4"/>
    <w:qFormat/>
    <w:uiPriority w:val="9"/>
    <w:rPr>
      <w:rFonts w:eastAsia="华文楷体"/>
      <w:b/>
      <w:bCs/>
      <w:sz w:val="32"/>
      <w:szCs w:val="32"/>
    </w:rPr>
  </w:style>
  <w:style w:type="paragraph" w:customStyle="1" w:styleId="36">
    <w:name w:val="列出段落1"/>
    <w:basedOn w:val="1"/>
    <w:qFormat/>
    <w:uiPriority w:val="34"/>
    <w:pPr>
      <w:spacing w:line="240" w:lineRule="auto"/>
      <w:ind w:firstLine="420"/>
    </w:pPr>
    <w:rPr>
      <w:sz w:val="21"/>
    </w:rPr>
  </w:style>
  <w:style w:type="character" w:customStyle="1" w:styleId="37">
    <w:name w:val="标题 字符"/>
    <w:basedOn w:val="29"/>
    <w:link w:val="24"/>
    <w:qFormat/>
    <w:uiPriority w:val="10"/>
    <w:rPr>
      <w:rFonts w:asciiTheme="majorHAnsi" w:hAnsiTheme="majorHAnsi" w:eastAsiaTheme="majorEastAsia" w:cstheme="majorBidi"/>
      <w:b/>
      <w:bCs/>
      <w:sz w:val="32"/>
      <w:szCs w:val="32"/>
    </w:rPr>
  </w:style>
  <w:style w:type="character" w:customStyle="1" w:styleId="38">
    <w:name w:val="标题 1 字符"/>
    <w:basedOn w:val="29"/>
    <w:link w:val="2"/>
    <w:qFormat/>
    <w:uiPriority w:val="0"/>
    <w:rPr>
      <w:rFonts w:eastAsia="黑体"/>
      <w:b/>
      <w:bCs/>
      <w:kern w:val="44"/>
      <w:sz w:val="32"/>
      <w:szCs w:val="44"/>
    </w:rPr>
  </w:style>
  <w:style w:type="paragraph" w:customStyle="1" w:styleId="39">
    <w:name w:val="无间隔1"/>
    <w:qFormat/>
    <w:uiPriority w:val="1"/>
    <w:pPr>
      <w:widowControl w:val="0"/>
      <w:ind w:firstLine="200" w:firstLineChars="200"/>
      <w:jc w:val="both"/>
    </w:pPr>
    <w:rPr>
      <w:rFonts w:eastAsia="仿宋" w:asciiTheme="minorHAnsi" w:hAnsiTheme="minorHAnsi" w:cstheme="minorBidi"/>
      <w:kern w:val="2"/>
      <w:sz w:val="28"/>
      <w:szCs w:val="22"/>
      <w:lang w:val="en-US" w:eastAsia="zh-CN" w:bidi="ar-SA"/>
    </w:rPr>
  </w:style>
  <w:style w:type="paragraph" w:customStyle="1" w:styleId="40">
    <w:name w:val="图表标题"/>
    <w:qFormat/>
    <w:uiPriority w:val="0"/>
    <w:pPr>
      <w:spacing w:line="360" w:lineRule="auto"/>
      <w:jc w:val="center"/>
    </w:pPr>
    <w:rPr>
      <w:rFonts w:ascii="Times New Roman" w:hAnsi="Times New Roman" w:eastAsia="仿宋" w:cs="Times New Roman"/>
      <w:kern w:val="2"/>
      <w:sz w:val="32"/>
      <w:lang w:val="en-US" w:eastAsia="zh-CN" w:bidi="ar-SA"/>
    </w:rPr>
  </w:style>
  <w:style w:type="paragraph" w:customStyle="1" w:styleId="41">
    <w:name w:val="图表内容"/>
    <w:basedOn w:val="40"/>
    <w:qFormat/>
    <w:uiPriority w:val="0"/>
    <w:pPr>
      <w:adjustRightInd w:val="0"/>
      <w:snapToGrid w:val="0"/>
      <w:spacing w:line="240" w:lineRule="auto"/>
    </w:pPr>
    <w:rPr>
      <w:sz w:val="24"/>
    </w:rPr>
  </w:style>
  <w:style w:type="character" w:customStyle="1" w:styleId="42">
    <w:name w:val="标题 4 字符"/>
    <w:basedOn w:val="29"/>
    <w:link w:val="5"/>
    <w:qFormat/>
    <w:uiPriority w:val="0"/>
    <w:rPr>
      <w:rFonts w:eastAsia="宋体" w:asciiTheme="majorHAnsi" w:hAnsiTheme="majorHAnsi" w:cstheme="majorBidi"/>
      <w:b/>
      <w:bCs/>
      <w:sz w:val="28"/>
      <w:szCs w:val="28"/>
    </w:rPr>
  </w:style>
  <w:style w:type="character" w:customStyle="1" w:styleId="43">
    <w:name w:val="标题 5 字符"/>
    <w:basedOn w:val="29"/>
    <w:link w:val="6"/>
    <w:qFormat/>
    <w:uiPriority w:val="0"/>
    <w:rPr>
      <w:rFonts w:ascii="宋体" w:hAnsi="Times New Roman" w:eastAsia="宋体" w:cs="Times New Roman"/>
      <w:b/>
      <w:bCs/>
      <w:kern w:val="0"/>
      <w:sz w:val="28"/>
      <w:szCs w:val="28"/>
    </w:rPr>
  </w:style>
  <w:style w:type="character" w:customStyle="1" w:styleId="44">
    <w:name w:val="标题 6 字符"/>
    <w:basedOn w:val="29"/>
    <w:link w:val="7"/>
    <w:qFormat/>
    <w:uiPriority w:val="0"/>
    <w:rPr>
      <w:rFonts w:ascii="Arial" w:hAnsi="Arial" w:eastAsia="黑体" w:cs="Times New Roman"/>
      <w:b/>
      <w:bCs/>
      <w:kern w:val="0"/>
      <w:sz w:val="24"/>
      <w:szCs w:val="24"/>
    </w:rPr>
  </w:style>
  <w:style w:type="character" w:customStyle="1" w:styleId="45">
    <w:name w:val="标题 7 字符"/>
    <w:basedOn w:val="29"/>
    <w:link w:val="8"/>
    <w:qFormat/>
    <w:uiPriority w:val="0"/>
    <w:rPr>
      <w:rFonts w:ascii="宋体" w:hAnsi="Times New Roman" w:eastAsia="宋体" w:cs="Times New Roman"/>
      <w:b/>
      <w:bCs/>
      <w:kern w:val="0"/>
      <w:sz w:val="24"/>
      <w:szCs w:val="24"/>
    </w:rPr>
  </w:style>
  <w:style w:type="character" w:customStyle="1" w:styleId="46">
    <w:name w:val="标题 8 字符"/>
    <w:basedOn w:val="29"/>
    <w:link w:val="9"/>
    <w:qFormat/>
    <w:uiPriority w:val="0"/>
    <w:rPr>
      <w:rFonts w:ascii="Arial" w:hAnsi="Arial" w:eastAsia="黑体" w:cs="Times New Roman"/>
      <w:kern w:val="0"/>
      <w:sz w:val="24"/>
      <w:szCs w:val="24"/>
    </w:rPr>
  </w:style>
  <w:style w:type="character" w:customStyle="1" w:styleId="47">
    <w:name w:val="标题 9 字符"/>
    <w:basedOn w:val="29"/>
    <w:link w:val="10"/>
    <w:qFormat/>
    <w:uiPriority w:val="0"/>
    <w:rPr>
      <w:rFonts w:ascii="Arial" w:hAnsi="Arial" w:eastAsia="黑体" w:cs="Times New Roman"/>
      <w:kern w:val="0"/>
    </w:rPr>
  </w:style>
  <w:style w:type="character" w:customStyle="1" w:styleId="48">
    <w:name w:val="页眉 字符"/>
    <w:basedOn w:val="29"/>
    <w:link w:val="19"/>
    <w:qFormat/>
    <w:uiPriority w:val="99"/>
    <w:rPr>
      <w:rFonts w:eastAsia="宋体"/>
      <w:sz w:val="18"/>
      <w:szCs w:val="18"/>
    </w:rPr>
  </w:style>
  <w:style w:type="character" w:customStyle="1" w:styleId="49">
    <w:name w:val="页脚 字符"/>
    <w:basedOn w:val="29"/>
    <w:link w:val="18"/>
    <w:qFormat/>
    <w:uiPriority w:val="99"/>
    <w:rPr>
      <w:rFonts w:eastAsia="宋体"/>
      <w:sz w:val="18"/>
      <w:szCs w:val="18"/>
    </w:rPr>
  </w:style>
  <w:style w:type="paragraph" w:customStyle="1" w:styleId="50">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Cs w:val="32"/>
    </w:rPr>
  </w:style>
  <w:style w:type="character" w:customStyle="1" w:styleId="51">
    <w:name w:val="纯文本 字符"/>
    <w:basedOn w:val="29"/>
    <w:link w:val="15"/>
    <w:qFormat/>
    <w:uiPriority w:val="99"/>
    <w:rPr>
      <w:rFonts w:ascii="宋体" w:hAnsi="Courier New" w:eastAsia="宋体" w:cs="宋体"/>
    </w:rPr>
  </w:style>
  <w:style w:type="paragraph" w:customStyle="1" w:styleId="52">
    <w:name w:val="样式 Century Gothic 四号 行距: 1.5 倍行距"/>
    <w:basedOn w:val="1"/>
    <w:qFormat/>
    <w:uiPriority w:val="0"/>
    <w:rPr>
      <w:rFonts w:ascii="Century Gothic" w:hAnsi="Century Gothic" w:eastAsia="宋体" w:cs="宋体"/>
      <w:szCs w:val="20"/>
    </w:rPr>
  </w:style>
  <w:style w:type="paragraph" w:customStyle="1" w:styleId="53">
    <w:name w:val="4号标题"/>
    <w:basedOn w:val="11"/>
    <w:qFormat/>
    <w:uiPriority w:val="0"/>
    <w:pPr>
      <w:spacing w:before="120" w:after="120"/>
      <w:ind w:firstLine="0" w:firstLineChars="0"/>
    </w:pPr>
    <w:rPr>
      <w:rFonts w:ascii="Century Gothic" w:hAnsi="Century Gothic" w:eastAsia="黑体" w:cs="Times New Roman"/>
      <w:b/>
      <w:kern w:val="0"/>
      <w:szCs w:val="28"/>
    </w:rPr>
  </w:style>
  <w:style w:type="character" w:customStyle="1" w:styleId="54">
    <w:name w:val="批注框文本 字符"/>
    <w:basedOn w:val="29"/>
    <w:link w:val="17"/>
    <w:semiHidden/>
    <w:qFormat/>
    <w:uiPriority w:val="99"/>
    <w:rPr>
      <w:rFonts w:eastAsia="宋体"/>
      <w:sz w:val="18"/>
      <w:szCs w:val="18"/>
    </w:rPr>
  </w:style>
  <w:style w:type="character" w:customStyle="1" w:styleId="55">
    <w:name w:val="批注文字 字符"/>
    <w:basedOn w:val="29"/>
    <w:link w:val="13"/>
    <w:qFormat/>
    <w:uiPriority w:val="99"/>
    <w:rPr>
      <w:rFonts w:eastAsia="宋体"/>
      <w:sz w:val="28"/>
    </w:rPr>
  </w:style>
  <w:style w:type="character" w:customStyle="1" w:styleId="56">
    <w:name w:val="批注主题 字符"/>
    <w:basedOn w:val="55"/>
    <w:link w:val="25"/>
    <w:semiHidden/>
    <w:qFormat/>
    <w:uiPriority w:val="99"/>
    <w:rPr>
      <w:rFonts w:eastAsia="宋体"/>
      <w:b/>
      <w:bCs/>
      <w:sz w:val="28"/>
    </w:rPr>
  </w:style>
  <w:style w:type="paragraph" w:customStyle="1" w:styleId="57">
    <w:name w:val="图标题"/>
    <w:basedOn w:val="1"/>
    <w:qFormat/>
    <w:uiPriority w:val="0"/>
    <w:pPr>
      <w:numPr>
        <w:ilvl w:val="0"/>
        <w:numId w:val="1"/>
      </w:numPr>
      <w:spacing w:line="240" w:lineRule="auto"/>
      <w:ind w:firstLine="0" w:firstLineChars="0"/>
      <w:jc w:val="center"/>
    </w:pPr>
    <w:rPr>
      <w:rFonts w:ascii="Century Gothic" w:hAnsi="宋体" w:eastAsia="宋体" w:cs="宋体"/>
      <w:kern w:val="0"/>
      <w:szCs w:val="20"/>
    </w:rPr>
  </w:style>
  <w:style w:type="paragraph" w:customStyle="1" w:styleId="58">
    <w:name w:val="样式 标题 2 + Century Gothic 小三 非加粗"/>
    <w:basedOn w:val="3"/>
    <w:qFormat/>
    <w:uiPriority w:val="0"/>
    <w:pPr>
      <w:widowControl w:val="0"/>
      <w:spacing w:before="260" w:after="260" w:line="416" w:lineRule="auto"/>
      <w:ind w:left="426"/>
      <w:jc w:val="both"/>
    </w:pPr>
    <w:rPr>
      <w:rFonts w:ascii="Century Gothic" w:hAnsi="Century Gothic" w:cs="Times New Roman"/>
      <w:b w:val="0"/>
      <w:bCs w:val="0"/>
      <w:kern w:val="0"/>
      <w:sz w:val="30"/>
      <w:szCs w:val="20"/>
    </w:rPr>
  </w:style>
  <w:style w:type="character" w:customStyle="1" w:styleId="59">
    <w:name w:val="页眉 Char"/>
    <w:qFormat/>
    <w:uiPriority w:val="0"/>
    <w:rPr>
      <w:rFonts w:ascii="宋体" w:eastAsia="宋体"/>
      <w:sz w:val="18"/>
      <w:szCs w:val="18"/>
      <w:lang w:val="en-US" w:eastAsia="zh-CN" w:bidi="ar-SA"/>
    </w:rPr>
  </w:style>
  <w:style w:type="table" w:customStyle="1" w:styleId="60">
    <w:name w:val="网格表 1 浅色1"/>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61">
    <w:name w:val="fontstyle01"/>
    <w:basedOn w:val="29"/>
    <w:qFormat/>
    <w:uiPriority w:val="0"/>
    <w:rPr>
      <w:rFonts w:hint="eastAsia" w:ascii="宋体" w:hAnsi="宋体" w:eastAsia="宋体"/>
      <w:color w:val="000000"/>
      <w:sz w:val="24"/>
      <w:szCs w:val="24"/>
    </w:rPr>
  </w:style>
  <w:style w:type="paragraph" w:customStyle="1" w:styleId="62">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63">
    <w:name w:val="font5"/>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64">
    <w:name w:val="xl65"/>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66">
    <w:name w:val="xl67"/>
    <w:basedOn w:val="1"/>
    <w:qFormat/>
    <w:uiPriority w:val="0"/>
    <w:pPr>
      <w:widowControl/>
      <w:pBdr>
        <w:top w:val="single" w:color="auto" w:sz="4" w:space="0"/>
        <w:left w:val="single" w:color="auto" w:sz="12"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67">
    <w:name w:val="xl68"/>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68">
    <w:name w:val="xl69"/>
    <w:basedOn w:val="1"/>
    <w:qFormat/>
    <w:uiPriority w:val="0"/>
    <w:pPr>
      <w:widowControl/>
      <w:pBdr>
        <w:top w:val="single" w:color="auto" w:sz="4" w:space="0"/>
        <w:left w:val="single" w:color="auto" w:sz="12" w:space="0"/>
        <w:bottom w:val="single" w:color="auto" w:sz="12"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69">
    <w:name w:val="xl70"/>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70">
    <w:name w:val="xl71"/>
    <w:basedOn w:val="1"/>
    <w:qFormat/>
    <w:uiPriority w:val="0"/>
    <w:pPr>
      <w:widowControl/>
      <w:pBdr>
        <w:top w:val="single" w:color="auto" w:sz="4" w:space="0"/>
        <w:left w:val="single" w:color="auto" w:sz="4" w:space="0"/>
        <w:bottom w:val="single" w:color="auto" w:sz="12" w:space="0"/>
        <w:right w:val="single" w:color="auto" w:sz="12"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7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73">
    <w:name w:val="xl74"/>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74">
    <w:name w:val="xl75"/>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75">
    <w:name w:val="xl76"/>
    <w:basedOn w:val="1"/>
    <w:qFormat/>
    <w:uiPriority w:val="0"/>
    <w:pPr>
      <w:widowControl/>
      <w:pBdr>
        <w:top w:val="single" w:color="auto" w:sz="12" w:space="0"/>
        <w:left w:val="single" w:color="auto" w:sz="12"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paragraph" w:customStyle="1" w:styleId="76">
    <w:name w:val="xl77"/>
    <w:basedOn w:val="1"/>
    <w:qFormat/>
    <w:uiPriority w:val="0"/>
    <w:pPr>
      <w:widowControl/>
      <w:pBdr>
        <w:top w:val="single" w:color="auto" w:sz="12" w:space="0"/>
        <w:left w:val="single" w:color="auto" w:sz="4" w:space="0"/>
        <w:bottom w:val="single" w:color="auto" w:sz="4" w:space="0"/>
        <w:right w:val="single" w:color="auto" w:sz="12" w:space="0"/>
      </w:pBdr>
      <w:spacing w:before="100" w:beforeAutospacing="1" w:after="100" w:afterAutospacing="1" w:line="240" w:lineRule="auto"/>
      <w:ind w:firstLine="0" w:firstLineChars="0"/>
      <w:jc w:val="center"/>
    </w:pPr>
    <w:rPr>
      <w:rFonts w:ascii="宋体" w:hAnsi="宋体" w:eastAsia="宋体" w:cs="宋体"/>
      <w:color w:val="000000"/>
      <w:kern w:val="0"/>
      <w:sz w:val="20"/>
      <w:szCs w:val="20"/>
    </w:rPr>
  </w:style>
  <w:style w:type="character" w:customStyle="1" w:styleId="77">
    <w:name w:val="fontstyle11"/>
    <w:basedOn w:val="29"/>
    <w:qFormat/>
    <w:uiPriority w:val="0"/>
    <w:rPr>
      <w:rFonts w:hint="eastAsia" w:ascii="宋体" w:hAnsi="宋体" w:eastAsia="宋体"/>
      <w:color w:val="231F20"/>
      <w:sz w:val="18"/>
      <w:szCs w:val="18"/>
    </w:rPr>
  </w:style>
  <w:style w:type="character" w:customStyle="1" w:styleId="78">
    <w:name w:val="日期 字符"/>
    <w:basedOn w:val="29"/>
    <w:link w:val="16"/>
    <w:semiHidden/>
    <w:qFormat/>
    <w:uiPriority w:val="99"/>
    <w:rPr>
      <w:rFonts w:ascii="Times New Roman" w:hAnsi="Times New Roman" w:eastAsia="宋体" w:cs="Times New Roman"/>
      <w:sz w:val="28"/>
      <w:szCs w:val="20"/>
    </w:rPr>
  </w:style>
  <w:style w:type="character" w:customStyle="1" w:styleId="79">
    <w:name w:val="apple-converted-space"/>
    <w:basedOn w:val="29"/>
    <w:qFormat/>
    <w:uiPriority w:val="0"/>
  </w:style>
  <w:style w:type="paragraph" w:customStyle="1" w:styleId="80">
    <w:name w:val="段"/>
    <w:link w:val="8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1">
    <w:name w:val="段 Char"/>
    <w:basedOn w:val="29"/>
    <w:link w:val="80"/>
    <w:qFormat/>
    <w:uiPriority w:val="0"/>
    <w:rPr>
      <w:rFonts w:ascii="宋体" w:hAnsi="Times New Roman" w:eastAsia="宋体" w:cs="Times New Roman"/>
      <w:kern w:val="0"/>
      <w:szCs w:val="20"/>
    </w:rPr>
  </w:style>
  <w:style w:type="paragraph" w:customStyle="1" w:styleId="82">
    <w:name w:val="一级条标题"/>
    <w:next w:val="8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83">
    <w:name w:val="章标题"/>
    <w:next w:val="8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84">
    <w:name w:val="二级条标题"/>
    <w:basedOn w:val="82"/>
    <w:next w:val="80"/>
    <w:qFormat/>
    <w:uiPriority w:val="0"/>
    <w:pPr>
      <w:numPr>
        <w:ilvl w:val="2"/>
      </w:numPr>
      <w:spacing w:before="50" w:after="50"/>
      <w:outlineLvl w:val="3"/>
    </w:pPr>
  </w:style>
  <w:style w:type="paragraph" w:customStyle="1" w:styleId="85">
    <w:name w:val="三级条标题"/>
    <w:basedOn w:val="84"/>
    <w:next w:val="80"/>
    <w:qFormat/>
    <w:uiPriority w:val="0"/>
    <w:pPr>
      <w:numPr>
        <w:ilvl w:val="3"/>
      </w:numPr>
      <w:outlineLvl w:val="4"/>
    </w:pPr>
  </w:style>
  <w:style w:type="paragraph" w:customStyle="1" w:styleId="86">
    <w:name w:val="四级条标题"/>
    <w:basedOn w:val="85"/>
    <w:next w:val="80"/>
    <w:qFormat/>
    <w:uiPriority w:val="0"/>
    <w:pPr>
      <w:numPr>
        <w:ilvl w:val="4"/>
      </w:numPr>
      <w:outlineLvl w:val="5"/>
    </w:pPr>
  </w:style>
  <w:style w:type="paragraph" w:customStyle="1" w:styleId="87">
    <w:name w:val="五级条标题"/>
    <w:basedOn w:val="86"/>
    <w:next w:val="80"/>
    <w:qFormat/>
    <w:uiPriority w:val="0"/>
    <w:pPr>
      <w:numPr>
        <w:ilvl w:val="5"/>
      </w:numPr>
      <w:outlineLvl w:val="6"/>
    </w:pPr>
  </w:style>
  <w:style w:type="paragraph" w:customStyle="1" w:styleId="88">
    <w:name w:val="三级无"/>
    <w:basedOn w:val="85"/>
    <w:qFormat/>
    <w:uiPriority w:val="0"/>
    <w:pPr>
      <w:numPr>
        <w:numId w:val="3"/>
      </w:numPr>
      <w:spacing w:beforeLines="0" w:afterLines="0"/>
    </w:pPr>
    <w:rPr>
      <w:rFonts w:ascii="宋体" w:eastAsia="宋体"/>
    </w:rPr>
  </w:style>
  <w:style w:type="paragraph" w:customStyle="1" w:styleId="89">
    <w:name w:val="二级无"/>
    <w:basedOn w:val="84"/>
    <w:qFormat/>
    <w:uiPriority w:val="0"/>
    <w:pPr>
      <w:numPr>
        <w:numId w:val="3"/>
      </w:numPr>
      <w:spacing w:beforeLines="0" w:afterLines="0"/>
      <w:ind w:left="0"/>
    </w:pPr>
    <w:rPr>
      <w:rFonts w:ascii="宋体" w:eastAsia="宋体"/>
    </w:rPr>
  </w:style>
  <w:style w:type="paragraph" w:customStyle="1" w:styleId="90">
    <w:name w:val="reader-word-layer"/>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1">
    <w:name w:val="修订1"/>
    <w:hidden/>
    <w:semiHidden/>
    <w:qFormat/>
    <w:uiPriority w:val="99"/>
    <w:rPr>
      <w:rFonts w:ascii="Times New Roman" w:hAnsi="Times New Roman" w:eastAsia="宋体" w:cs="Times New Roman"/>
      <w:kern w:val="2"/>
      <w:sz w:val="28"/>
      <w:lang w:val="en-US" w:eastAsia="zh-CN" w:bidi="ar-SA"/>
    </w:rPr>
  </w:style>
  <w:style w:type="table" w:customStyle="1" w:styleId="92">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
    <w:name w:val="浅色列表 - 着色 31"/>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paragraph" w:customStyle="1" w:styleId="94">
    <w:name w:val="font6"/>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4"/>
      <w:szCs w:val="24"/>
    </w:rPr>
  </w:style>
  <w:style w:type="paragraph" w:customStyle="1" w:styleId="95">
    <w:name w:val="xl63"/>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6">
    <w:name w:val="xl64"/>
    <w:basedOn w:val="1"/>
    <w:qFormat/>
    <w:uiPriority w:val="0"/>
    <w:pPr>
      <w:widowControl/>
      <w:pBdr>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7">
    <w:name w:val="font7"/>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table" w:customStyle="1" w:styleId="98">
    <w:name w:val="网格型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9">
    <w:name w:val="浅色列表 - 着色 32"/>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00">
    <w:name w:val="网格表 1 浅色2"/>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1">
    <w:name w:val="网格表 1 浅色11"/>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2">
    <w:name w:val="网格型1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3">
    <w:name w:val="浅色列表 - 着色 311"/>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04">
    <w:name w:val="网格表 1 浅色3"/>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5">
    <w:name w:val="网格型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6">
    <w:name w:val="浅色列表 - 着色 33"/>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07">
    <w:name w:val="网格表 1 浅色4"/>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8">
    <w:name w:val="网格表 1 浅色12"/>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9">
    <w:name w:val="网格型1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0">
    <w:name w:val="浅色列表 - 着色 312"/>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11">
    <w:name w:val="网格型3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2">
    <w:name w:val="网格型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3">
    <w:name w:val="浅色列表 - 着色 34"/>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14">
    <w:name w:val="网格表 1 浅色5"/>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5">
    <w:name w:val="网格表 1 浅色13"/>
    <w:basedOn w:val="2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6">
    <w:name w:val="网格型1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7">
    <w:name w:val="浅色列表 - 着色 313"/>
    <w:basedOn w:val="2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DDF9CC" w:themeColor="background1"/>
        <w14:textFill>
          <w14:solidFill>
            <w14:schemeClr w14:val="bg1"/>
          </w14:solidFill>
        </w14:textFill>
      </w:rPr>
      <w:tcPr>
        <w:shd w:val="clear" w:color="auto" w:fill="A5A5A5" w:themeFill="accent3"/>
      </w:tcPr>
    </w:tblStylePr>
    <w:tblStylePr w:type="lastRow">
      <w:pPr>
        <w:spacing w:before="0" w:after="0" w:line="240" w:lineRule="auto"/>
      </w:pPr>
      <w:rPr>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118">
    <w:name w:val="网格型3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9">
    <w:name w:val="浅色列表 - 着色 32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20">
    <w:name w:val="浅色列表 - 着色 33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21">
    <w:name w:val="浅色列表 - 着色 34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22">
    <w:name w:val="网格型5"/>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3">
    <w:name w:val="浅色列表 - 强调文字颜色 3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24">
    <w:name w:val="网格表 1 浅色14"/>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25">
    <w:name w:val="网格表 1 浅色15"/>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26">
    <w:name w:val="网格型1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7">
    <w:name w:val="浅色列表 - 着色 31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28">
    <w:name w:val="网格型32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9">
    <w:name w:val="浅色列表 - 着色 32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30">
    <w:name w:val="浅色列表 - 着色 35"/>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31">
    <w:name w:val="浅色列表 - 着色 33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32">
    <w:name w:val="浅色列表 - 着色 34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33">
    <w:name w:val="网格型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4">
    <w:name w:val="网格型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5">
    <w:name w:val="网格表 1 浅色16"/>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36">
    <w:name w:val="网格表 1 浅色17"/>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37">
    <w:name w:val="网格型15"/>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8">
    <w:name w:val="浅色列表 - 着色 315"/>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39">
    <w:name w:val="网格型32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0">
    <w:name w:val="浅色列表 - 着色 323"/>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41">
    <w:name w:val="浅色列表 - 着色 36"/>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42">
    <w:name w:val="浅色列表 - 着色 333"/>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43">
    <w:name w:val="浅色列表 - 着色 343"/>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44">
    <w:name w:val="网格型2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5">
    <w:name w:val="网格型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6">
    <w:name w:val="HTML 预设格式 字符"/>
    <w:basedOn w:val="29"/>
    <w:link w:val="22"/>
    <w:semiHidden/>
    <w:qFormat/>
    <w:uiPriority w:val="99"/>
    <w:rPr>
      <w:rFonts w:ascii="宋体" w:hAnsi="宋体" w:eastAsia="宋体" w:cs="宋体"/>
      <w:kern w:val="0"/>
      <w:sz w:val="24"/>
      <w:szCs w:val="24"/>
    </w:rPr>
  </w:style>
  <w:style w:type="paragraph" w:customStyle="1" w:styleId="147">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148">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149">
    <w:name w:val="xl8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150">
    <w:name w:val="font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51">
    <w:name w:val="xl81"/>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1"/>
      <w:szCs w:val="21"/>
    </w:rPr>
  </w:style>
  <w:style w:type="paragraph" w:customStyle="1" w:styleId="152">
    <w:name w:val="xl82"/>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1"/>
      <w:szCs w:val="21"/>
    </w:rPr>
  </w:style>
  <w:style w:type="paragraph" w:customStyle="1" w:styleId="153">
    <w:name w:val="xl83"/>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1"/>
      <w:szCs w:val="21"/>
    </w:rPr>
  </w:style>
  <w:style w:type="paragraph" w:customStyle="1" w:styleId="154">
    <w:name w:val="xl84"/>
    <w:basedOn w:val="1"/>
    <w:qFormat/>
    <w:uiPriority w:val="0"/>
    <w:pPr>
      <w:widowControl/>
      <w:pBdr>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Times New Roman" w:hAnsi="Times New Roman" w:eastAsia="宋体" w:cs="Times New Roman"/>
      <w:kern w:val="0"/>
      <w:sz w:val="21"/>
      <w:szCs w:val="21"/>
    </w:rPr>
  </w:style>
  <w:style w:type="paragraph" w:customStyle="1" w:styleId="155">
    <w:name w:val="xl85"/>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Times New Roman" w:hAnsi="Times New Roman" w:eastAsia="宋体" w:cs="Times New Roman"/>
      <w:kern w:val="0"/>
      <w:sz w:val="21"/>
      <w:szCs w:val="21"/>
    </w:rPr>
  </w:style>
  <w:style w:type="paragraph" w:customStyle="1" w:styleId="156">
    <w:name w:val="xl86"/>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Times New Roman" w:hAnsi="Times New Roman" w:eastAsia="宋体" w:cs="Times New Roman"/>
      <w:kern w:val="0"/>
      <w:sz w:val="21"/>
      <w:szCs w:val="21"/>
    </w:rPr>
  </w:style>
  <w:style w:type="paragraph" w:customStyle="1" w:styleId="157">
    <w:name w:val="Char"/>
    <w:basedOn w:val="1"/>
    <w:qFormat/>
    <w:uiPriority w:val="0"/>
    <w:pPr>
      <w:widowControl/>
      <w:spacing w:line="240" w:lineRule="auto"/>
      <w:ind w:firstLine="0" w:firstLineChars="0"/>
      <w:jc w:val="left"/>
    </w:pPr>
    <w:rPr>
      <w:rFonts w:ascii="宋体" w:hAnsi="宋体" w:eastAsia="宋体" w:cs="Courier New"/>
      <w:kern w:val="0"/>
      <w:szCs w:val="32"/>
    </w:rPr>
  </w:style>
  <w:style w:type="table" w:customStyle="1" w:styleId="158">
    <w:name w:val="网格型7"/>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9">
    <w:name w:val="浅色列表 - 强调文字颜色 3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0">
    <w:name w:val="网格表 1 浅色18"/>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61">
    <w:name w:val="网格表 1 浅色19"/>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62">
    <w:name w:val="网格型1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3">
    <w:name w:val="浅色列表 - 着色 316"/>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4">
    <w:name w:val="网格型32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5">
    <w:name w:val="浅色列表 - 着色 32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6">
    <w:name w:val="浅色列表 - 着色 37"/>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7">
    <w:name w:val="浅色列表 - 着色 33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8">
    <w:name w:val="浅色列表 - 着色 34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69">
    <w:name w:val="网格型2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0">
    <w:name w:val="网格型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1">
    <w:name w:val="font8"/>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table" w:customStyle="1" w:styleId="172">
    <w:name w:val="网格型9"/>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3">
    <w:name w:val="浅色列表 - 强调文字颜色 31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74">
    <w:name w:val="网格表 1 浅色110"/>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75">
    <w:name w:val="网格表 1 浅色11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76">
    <w:name w:val="网格型17"/>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7">
    <w:name w:val="浅色列表 - 着色 317"/>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78">
    <w:name w:val="网格型325"/>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9">
    <w:name w:val="浅色列表 - 着色 325"/>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80">
    <w:name w:val="浅色列表 - 着色 38"/>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81">
    <w:name w:val="浅色列表 - 着色 335"/>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82">
    <w:name w:val="浅色列表 - 着色 345"/>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83">
    <w:name w:val="网格型2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4">
    <w:name w:val="网格型8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5">
    <w:name w:val="font9"/>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table" w:customStyle="1" w:styleId="186">
    <w:name w:val="网格型1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7">
    <w:name w:val="浅色列表 - 强调文字颜色 313"/>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88">
    <w:name w:val="网格表 1 浅色112"/>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89">
    <w:name w:val="网格表 1 浅色113"/>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190">
    <w:name w:val="网格型1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1">
    <w:name w:val="浅色列表 - 着色 318"/>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92">
    <w:name w:val="网格型32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3">
    <w:name w:val="浅色列表 - 着色 326"/>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94">
    <w:name w:val="浅色列表 - 着色 39"/>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95">
    <w:name w:val="浅色列表 - 着色 336"/>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96">
    <w:name w:val="浅色列表 - 着色 346"/>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197">
    <w:name w:val="网格型25"/>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8">
    <w:name w:val="网格型8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20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4"/>
      <w:szCs w:val="24"/>
    </w:rPr>
  </w:style>
  <w:style w:type="table" w:customStyle="1" w:styleId="201">
    <w:name w:val="网格型19"/>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2">
    <w:name w:val="浅色列表 - 强调文字颜色 31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03">
    <w:name w:val="网格表 1 浅色114"/>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04">
    <w:name w:val="网格表 1 浅色115"/>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05">
    <w:name w:val="网格型11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6">
    <w:name w:val="浅色列表 - 着色 319"/>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07">
    <w:name w:val="网格型327"/>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8">
    <w:name w:val="浅色列表 - 着色 327"/>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09">
    <w:name w:val="浅色列表 - 着色 310"/>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10">
    <w:name w:val="浅色列表 - 着色 337"/>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11">
    <w:name w:val="浅色列表 - 着色 347"/>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12">
    <w:name w:val="网格型2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3">
    <w:name w:val="网格型8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4">
    <w:name w:val="网格型3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5">
    <w:name w:val="网格型11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6">
    <w:name w:val="xl89"/>
    <w:basedOn w:val="1"/>
    <w:qFormat/>
    <w:uiPriority w:val="0"/>
    <w:pPr>
      <w:widowControl/>
      <w:spacing w:before="100" w:beforeAutospacing="1" w:after="100" w:afterAutospacing="1" w:line="240" w:lineRule="auto"/>
      <w:ind w:firstLine="0" w:firstLineChars="0"/>
      <w:jc w:val="center"/>
      <w:textAlignment w:val="center"/>
    </w:pPr>
    <w:rPr>
      <w:rFonts w:ascii="宋体" w:hAnsi="宋体" w:eastAsia="宋体" w:cs="宋体"/>
      <w:kern w:val="0"/>
      <w:sz w:val="24"/>
      <w:szCs w:val="24"/>
    </w:rPr>
  </w:style>
  <w:style w:type="table" w:customStyle="1" w:styleId="217">
    <w:name w:val="网格型2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8">
    <w:name w:val="浅色列表 - 强调文字颜色 315"/>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19">
    <w:name w:val="网格表 1 浅色116"/>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20">
    <w:name w:val="网格表 1 浅色117"/>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21">
    <w:name w:val="网格型11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22">
    <w:name w:val="浅色列表 - 着色 3110"/>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23">
    <w:name w:val="网格型32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24">
    <w:name w:val="浅色列表 - 着色 328"/>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25">
    <w:name w:val="浅色列表 - 着色 320"/>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26">
    <w:name w:val="浅色列表 - 着色 338"/>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27">
    <w:name w:val="浅色列表 - 着色 348"/>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28">
    <w:name w:val="网格型27"/>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29">
    <w:name w:val="网格型85"/>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0">
    <w:name w:val="网格型33"/>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1">
    <w:name w:val="网格型113"/>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2">
    <w:name w:val="网格型2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3">
    <w:name w:val="浅色列表 - 强调文字颜色 316"/>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34">
    <w:name w:val="网格表 1 浅色118"/>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35">
    <w:name w:val="网格表 1 浅色119"/>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36">
    <w:name w:val="网格型114"/>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7">
    <w:name w:val="浅色列表 - 着色 31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38">
    <w:name w:val="网格型329"/>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9">
    <w:name w:val="浅色列表 - 着色 329"/>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40">
    <w:name w:val="浅色列表 - 着色 330"/>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41">
    <w:name w:val="浅色列表 - 着色 339"/>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42">
    <w:name w:val="浅色列表 - 着色 349"/>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43">
    <w:name w:val="网格型29"/>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4">
    <w:name w:val="网格型8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5">
    <w:name w:val="网格型34"/>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6">
    <w:name w:val="网格型115"/>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7">
    <w:name w:val="网格型3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8">
    <w:name w:val="浅色列表 - 强调文字颜色 317"/>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49">
    <w:name w:val="网格表 1 浅色120"/>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50">
    <w:name w:val="网格表 1 浅色12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51">
    <w:name w:val="网格型11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2">
    <w:name w:val="浅色列表 - 着色 311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53">
    <w:name w:val="网格型321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
    <w:name w:val="浅色列表 - 着色 3210"/>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55">
    <w:name w:val="浅色列表 - 着色 340"/>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56">
    <w:name w:val="浅色列表 - 着色 3310"/>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57">
    <w:name w:val="浅色列表 - 着色 3410"/>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58">
    <w:name w:val="网格型21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9">
    <w:name w:val="网格型87"/>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0">
    <w:name w:val="网格型35"/>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1">
    <w:name w:val="网格型117"/>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2">
    <w:name w:val="网格型36"/>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3">
    <w:name w:val="浅色列表 - 强调文字颜色 318"/>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64">
    <w:name w:val="网格表 1 浅色122"/>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65">
    <w:name w:val="网格表 1 浅色123"/>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66">
    <w:name w:val="网格型11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7">
    <w:name w:val="浅色列表 - 着色 3113"/>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68">
    <w:name w:val="网格型321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9">
    <w:name w:val="浅色列表 - 着色 32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70">
    <w:name w:val="浅色列表 - 着色 350"/>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71">
    <w:name w:val="浅色列表 - 着色 33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72">
    <w:name w:val="浅色列表 - 着色 34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73">
    <w:name w:val="网格型21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4">
    <w:name w:val="网格型8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5">
    <w:name w:val="网格型37"/>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6">
    <w:name w:val="网格型119"/>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7">
    <w:name w:val="网格型38"/>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8">
    <w:name w:val="浅色列表 - 强调文字颜色 319"/>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79">
    <w:name w:val="网格表 1 浅色124"/>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80">
    <w:name w:val="网格表 1 浅色125"/>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281">
    <w:name w:val="网格型120"/>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2">
    <w:name w:val="浅色列表 - 着色 3114"/>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83">
    <w:name w:val="网格型321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4">
    <w:name w:val="浅色列表 - 着色 321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85">
    <w:name w:val="浅色列表 - 着色 35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86">
    <w:name w:val="浅色列表 - 着色 331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87">
    <w:name w:val="浅色列表 - 着色 341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88">
    <w:name w:val="网格型21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9">
    <w:name w:val="网格型89"/>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90">
    <w:name w:val="网格型39"/>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91">
    <w:name w:val="网格型1110"/>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2">
    <w:name w:val="列出段落2"/>
    <w:basedOn w:val="1"/>
    <w:qFormat/>
    <w:uiPriority w:val="34"/>
    <w:pPr>
      <w:spacing w:line="240" w:lineRule="auto"/>
      <w:ind w:firstLine="420"/>
    </w:pPr>
    <w:rPr>
      <w:sz w:val="21"/>
    </w:rPr>
  </w:style>
  <w:style w:type="paragraph" w:customStyle="1" w:styleId="293">
    <w:name w:val="无间隔2"/>
    <w:qFormat/>
    <w:uiPriority w:val="1"/>
    <w:pPr>
      <w:widowControl w:val="0"/>
      <w:ind w:firstLine="200" w:firstLineChars="200"/>
      <w:jc w:val="both"/>
    </w:pPr>
    <w:rPr>
      <w:rFonts w:ascii="等线" w:hAnsi="等线" w:eastAsia="仿宋" w:cs="Times New Roman"/>
      <w:kern w:val="2"/>
      <w:sz w:val="28"/>
      <w:szCs w:val="22"/>
      <w:lang w:val="en-US" w:eastAsia="zh-CN" w:bidi="ar-SA"/>
    </w:rPr>
  </w:style>
  <w:style w:type="table" w:customStyle="1" w:styleId="294">
    <w:name w:val="网格型40"/>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5">
    <w:name w:val="TOC 标题2"/>
    <w:basedOn w:val="2"/>
    <w:next w:val="1"/>
    <w:unhideWhenUsed/>
    <w:qFormat/>
    <w:uiPriority w:val="39"/>
    <w:pPr>
      <w:spacing w:before="240" w:after="0" w:line="259" w:lineRule="auto"/>
      <w:outlineLvl w:val="9"/>
    </w:pPr>
    <w:rPr>
      <w:rFonts w:ascii="等线 Light" w:hAnsi="等线 Light" w:eastAsia="等线 Light" w:cs="Times New Roman"/>
      <w:b w:val="0"/>
      <w:bCs w:val="0"/>
      <w:color w:val="2F5496"/>
      <w:kern w:val="0"/>
      <w:szCs w:val="32"/>
    </w:rPr>
  </w:style>
  <w:style w:type="table" w:customStyle="1" w:styleId="296">
    <w:name w:val="浅色列表 - 着色 352"/>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297">
    <w:name w:val="网格表 1 浅色126"/>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298">
    <w:name w:val="修订2"/>
    <w:hidden/>
    <w:semiHidden/>
    <w:qFormat/>
    <w:uiPriority w:val="99"/>
    <w:rPr>
      <w:rFonts w:ascii="Times New Roman" w:hAnsi="Times New Roman" w:eastAsia="宋体" w:cs="Times New Roman"/>
      <w:kern w:val="2"/>
      <w:sz w:val="28"/>
      <w:lang w:val="en-US" w:eastAsia="zh-CN" w:bidi="ar-SA"/>
    </w:rPr>
  </w:style>
  <w:style w:type="table" w:customStyle="1" w:styleId="299">
    <w:name w:val="网格型12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00">
    <w:name w:val="浅色列表 - 着色 3115"/>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01">
    <w:name w:val="网格表 1 浅色127"/>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02">
    <w:name w:val="网格型213"/>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03">
    <w:name w:val="浅色列表 - 着色 3213"/>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04">
    <w:name w:val="网格表 1 浅色21"/>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05">
    <w:name w:val="网格表 1 浅色1110"/>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06">
    <w:name w:val="网格型111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07">
    <w:name w:val="浅色列表 - 着色 3116"/>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08">
    <w:name w:val="网格表 1 浅色31"/>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09">
    <w:name w:val="网格型310"/>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10">
    <w:name w:val="浅色列表 - 着色 3313"/>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11">
    <w:name w:val="网格表 1 浅色41"/>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12">
    <w:name w:val="网格表 1 浅色128"/>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13">
    <w:name w:val="网格型122"/>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14">
    <w:name w:val="浅色列表 - 着色 31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15">
    <w:name w:val="网格型3213"/>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16">
    <w:name w:val="网格型4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17">
    <w:name w:val="浅色列表 - 着色 3413"/>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18">
    <w:name w:val="网格表 1 浅色51"/>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19">
    <w:name w:val="网格表 1 浅色131"/>
    <w:basedOn w:val="26"/>
    <w:qFormat/>
    <w:uiPriority w:val="46"/>
    <w:rPr>
      <w:kern w:val="2"/>
      <w:sz w:val="21"/>
      <w:szCs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20">
    <w:name w:val="网格型13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21">
    <w:name w:val="浅色列表 - 着色 313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22">
    <w:name w:val="网格型3214"/>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23">
    <w:name w:val="浅色列表 - 着色 3214"/>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24">
    <w:name w:val="浅色列表 - 着色 3314"/>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25">
    <w:name w:val="浅色列表 - 着色 3414"/>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26">
    <w:name w:val="网格型5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27">
    <w:name w:val="浅色列表 - 强调文字颜色 32"/>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28">
    <w:name w:val="网格表 1 浅色14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29">
    <w:name w:val="网格表 1 浅色15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30">
    <w:name w:val="网格型14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31">
    <w:name w:val="浅色列表 - 着色 314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32">
    <w:name w:val="网格型32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33">
    <w:name w:val="浅色列表 - 着色 32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34">
    <w:name w:val="浅色列表 - 着色 353"/>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35">
    <w:name w:val="浅色列表 - 着色 33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36">
    <w:name w:val="浅色列表 - 着色 34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37">
    <w:name w:val="网格型214"/>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38">
    <w:name w:val="网格型6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39">
    <w:name w:val="浅色列表 - 强调文字颜色 3110"/>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0">
    <w:name w:val="网格表 1 浅色16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41">
    <w:name w:val="网格表 1 浅色17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42">
    <w:name w:val="网格型15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43">
    <w:name w:val="浅色列表 - 着色 315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4">
    <w:name w:val="网格型323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45">
    <w:name w:val="浅色列表 - 着色 323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6">
    <w:name w:val="浅色列表 - 着色 36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7">
    <w:name w:val="浅色列表 - 着色 333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8">
    <w:name w:val="浅色列表 - 着色 343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49">
    <w:name w:val="网格型22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0">
    <w:name w:val="网格型810"/>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1">
    <w:name w:val="网格型7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2">
    <w:name w:val="浅色列表 - 强调文字颜色 31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53">
    <w:name w:val="网格表 1 浅色18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54">
    <w:name w:val="网格表 1 浅色19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55">
    <w:name w:val="网格型16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6">
    <w:name w:val="浅色列表 - 着色 316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57">
    <w:name w:val="网格型324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58">
    <w:name w:val="浅色列表 - 着色 324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59">
    <w:name w:val="浅色列表 - 着色 37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60">
    <w:name w:val="浅色列表 - 着色 334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61">
    <w:name w:val="浅色列表 - 着色 344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62">
    <w:name w:val="网格型23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3">
    <w:name w:val="网格型81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4">
    <w:name w:val="网格型9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5">
    <w:name w:val="浅色列表 - 强调文字颜色 312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66">
    <w:name w:val="网格表 1 浅色110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67">
    <w:name w:val="网格表 1 浅色111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68">
    <w:name w:val="网格型17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69">
    <w:name w:val="浅色列表 - 着色 317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0">
    <w:name w:val="网格型325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71">
    <w:name w:val="浅色列表 - 着色 325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2">
    <w:name w:val="浅色列表 - 着色 38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3">
    <w:name w:val="浅色列表 - 着色 335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4">
    <w:name w:val="浅色列表 - 着色 345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5">
    <w:name w:val="网格型24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76">
    <w:name w:val="网格型82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77">
    <w:name w:val="网格型1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78">
    <w:name w:val="浅色列表 - 强调文字颜色 313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79">
    <w:name w:val="网格表 1 浅色112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80">
    <w:name w:val="网格表 1 浅色113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81">
    <w:name w:val="网格型1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82">
    <w:name w:val="浅色列表 - 着色 318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83">
    <w:name w:val="网格型326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84">
    <w:name w:val="浅色列表 - 着色 326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85">
    <w:name w:val="浅色列表 - 着色 39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86">
    <w:name w:val="浅色列表 - 着色 336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87">
    <w:name w:val="浅色列表 - 着色 346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88">
    <w:name w:val="网格型25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89">
    <w:name w:val="网格型83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90">
    <w:name w:val="网格型19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91">
    <w:name w:val="浅色列表 - 强调文字颜色 314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92">
    <w:name w:val="网格表 1 浅色114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93">
    <w:name w:val="网格表 1 浅色115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394">
    <w:name w:val="网格型11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95">
    <w:name w:val="浅色列表 - 着色 319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96">
    <w:name w:val="网格型327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97">
    <w:name w:val="浅色列表 - 着色 327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98">
    <w:name w:val="浅色列表 - 着色 310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399">
    <w:name w:val="浅色列表 - 着色 337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00">
    <w:name w:val="浅色列表 - 着色 347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01">
    <w:name w:val="网格型26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02">
    <w:name w:val="网格型84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03">
    <w:name w:val="网格型31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04">
    <w:name w:val="网格型111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05">
    <w:name w:val="网格型2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06">
    <w:name w:val="浅色列表 - 强调文字颜色 315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07">
    <w:name w:val="网格表 1 浅色116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08">
    <w:name w:val="网格表 1 浅色117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09">
    <w:name w:val="网格型11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0">
    <w:name w:val="浅色列表 - 着色 3110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11">
    <w:name w:val="网格型32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2">
    <w:name w:val="浅色列表 - 着色 328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13">
    <w:name w:val="浅色列表 - 着色 320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14">
    <w:name w:val="浅色列表 - 着色 338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15">
    <w:name w:val="浅色列表 - 着色 348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16">
    <w:name w:val="网格型27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7">
    <w:name w:val="网格型85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8">
    <w:name w:val="网格型33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9">
    <w:name w:val="网格型113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20">
    <w:name w:val="网格型2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21">
    <w:name w:val="浅色列表 - 强调文字颜色 316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22">
    <w:name w:val="网格表 1 浅色118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23">
    <w:name w:val="网格表 1 浅色119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24">
    <w:name w:val="网格型114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25">
    <w:name w:val="浅色列表 - 着色 3111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26">
    <w:name w:val="网格型329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27">
    <w:name w:val="浅色列表 - 着色 329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28">
    <w:name w:val="浅色列表 - 着色 330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29">
    <w:name w:val="浅色列表 - 着色 339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30">
    <w:name w:val="浅色列表 - 着色 349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31">
    <w:name w:val="网格型29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2">
    <w:name w:val="网格型86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3">
    <w:name w:val="网格型34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4">
    <w:name w:val="网格型115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5">
    <w:name w:val="网格型3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6">
    <w:name w:val="浅色列表 - 强调文字颜色 317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37">
    <w:name w:val="网格表 1 浅色120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38">
    <w:name w:val="网格表 1 浅色121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39">
    <w:name w:val="网格型116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0">
    <w:name w:val="浅色列表 - 着色 3112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41">
    <w:name w:val="网格型321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2">
    <w:name w:val="浅色列表 - 着色 3210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43">
    <w:name w:val="浅色列表 - 着色 340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44">
    <w:name w:val="浅色列表 - 着色 3310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45">
    <w:name w:val="浅色列表 - 着色 3410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46">
    <w:name w:val="网格型210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7">
    <w:name w:val="网格型87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8">
    <w:name w:val="网格型35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49">
    <w:name w:val="网格型117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50">
    <w:name w:val="网格型36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51">
    <w:name w:val="浅色列表 - 强调文字颜色 318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52">
    <w:name w:val="网格表 1 浅色122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53">
    <w:name w:val="网格表 1 浅色123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54">
    <w:name w:val="网格型11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55">
    <w:name w:val="浅色列表 - 着色 3113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56">
    <w:name w:val="网格型3211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57">
    <w:name w:val="浅色列表 - 着色 3211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58">
    <w:name w:val="浅色列表 - 着色 350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59">
    <w:name w:val="浅色列表 - 着色 3311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60">
    <w:name w:val="浅色列表 - 着色 3411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61">
    <w:name w:val="网格型211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62">
    <w:name w:val="网格型88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63">
    <w:name w:val="网格型37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64">
    <w:name w:val="网格型119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65">
    <w:name w:val="网格型38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66">
    <w:name w:val="浅色列表 - 强调文字颜色 319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67">
    <w:name w:val="网格表 1 浅色124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68">
    <w:name w:val="网格表 1 浅色1251"/>
    <w:basedOn w:val="2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69">
    <w:name w:val="网格型120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0">
    <w:name w:val="浅色列表 - 着色 31141"/>
    <w:basedOn w:val="26"/>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71">
    <w:name w:val="网格型321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2">
    <w:name w:val="浅色列表 - 着色 321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73">
    <w:name w:val="浅色列表 - 着色 3511"/>
    <w:basedOn w:val="26"/>
    <w:unhideWhenUsed/>
    <w:qFormat/>
    <w:uiPriority w:val="61"/>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74">
    <w:name w:val="浅色列表 - 着色 331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75">
    <w:name w:val="浅色列表 - 着色 34121"/>
    <w:basedOn w:val="26"/>
    <w:qFormat/>
    <w:uiPriority w:val="61"/>
    <w:rPr>
      <w:kern w:val="2"/>
      <w:sz w:val="21"/>
      <w:szCs w:val="21"/>
    </w:rPr>
    <w:tblPr>
      <w:tblBorders>
        <w:top w:val="single" w:color="A5A5A5" w:sz="8" w:space="0"/>
        <w:left w:val="single" w:color="A5A5A5" w:sz="8" w:space="0"/>
        <w:bottom w:val="single" w:color="A5A5A5" w:sz="8" w:space="0"/>
        <w:right w:val="single" w:color="A5A5A5" w:sz="8" w:space="0"/>
      </w:tblBorders>
      <w:tblLayout w:type="fixed"/>
    </w:tblPr>
    <w:tblStylePr w:type="firstRow">
      <w:pPr>
        <w:spacing w:before="0" w:after="0" w:line="240" w:lineRule="auto"/>
      </w:pPr>
      <w:rPr>
        <w:b/>
        <w:bCs/>
        <w:color w:val="FFFFFF"/>
      </w:rPr>
      <w:tcPr>
        <w:shd w:val="clear" w:color="auto" w:fill="A5A5A5"/>
      </w:tcPr>
    </w:tblStylePr>
    <w:tblStylePr w:type="lastRow">
      <w:pPr>
        <w:spacing w:before="0" w:after="0" w:line="240" w:lineRule="auto"/>
      </w:pPr>
      <w:rPr>
        <w:b/>
        <w:bCs/>
      </w:r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cPr>
        <w:tcBorders>
          <w:top w:val="single" w:color="A5A5A5" w:sz="8" w:space="0"/>
          <w:left w:val="single" w:color="A5A5A5" w:sz="8" w:space="0"/>
          <w:bottom w:val="single" w:color="A5A5A5" w:sz="8" w:space="0"/>
          <w:right w:val="single" w:color="A5A5A5" w:sz="8" w:space="0"/>
        </w:tcBorders>
      </w:tcPr>
    </w:tblStylePr>
    <w:tblStylePr w:type="band1Horz">
      <w:tcPr>
        <w:tcBorders>
          <w:top w:val="single" w:color="A5A5A5" w:sz="8" w:space="0"/>
          <w:left w:val="single" w:color="A5A5A5" w:sz="8" w:space="0"/>
          <w:bottom w:val="single" w:color="A5A5A5" w:sz="8" w:space="0"/>
          <w:right w:val="single" w:color="A5A5A5" w:sz="8" w:space="0"/>
        </w:tcBorders>
      </w:tcPr>
    </w:tblStylePr>
  </w:style>
  <w:style w:type="table" w:customStyle="1" w:styleId="476">
    <w:name w:val="网格型212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7">
    <w:name w:val="网格型891"/>
    <w:basedOn w:val="26"/>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8">
    <w:name w:val="网格型39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9">
    <w:name w:val="网格型1110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80">
    <w:name w:val="修订3"/>
    <w:hidden/>
    <w:semiHidden/>
    <w:qFormat/>
    <w:uiPriority w:val="99"/>
    <w:rPr>
      <w:rFonts w:eastAsia="仿宋" w:asciiTheme="minorHAnsi" w:hAnsiTheme="minorHAnsi" w:cstheme="minorBidi"/>
      <w:kern w:val="2"/>
      <w:sz w:val="32"/>
      <w:szCs w:val="22"/>
      <w:lang w:val="en-US" w:eastAsia="zh-CN" w:bidi="ar-SA"/>
    </w:rPr>
  </w:style>
  <w:style w:type="paragraph" w:customStyle="1" w:styleId="481">
    <w:name w:val="修订4"/>
    <w:hidden/>
    <w:semiHidden/>
    <w:qFormat/>
    <w:uiPriority w:val="99"/>
    <w:rPr>
      <w:rFonts w:eastAsia="仿宋" w:asciiTheme="minorHAnsi" w:hAnsiTheme="minorHAnsi" w:cstheme="minorBidi"/>
      <w:kern w:val="2"/>
      <w:sz w:val="32"/>
      <w:szCs w:val="22"/>
      <w:lang w:val="en-US" w:eastAsia="zh-CN" w:bidi="ar-SA"/>
    </w:rPr>
  </w:style>
  <w:style w:type="character" w:customStyle="1" w:styleId="482">
    <w:name w:val="bjh-p"/>
    <w:basedOn w:val="29"/>
    <w:qFormat/>
    <w:uiPriority w:val="0"/>
  </w:style>
  <w:style w:type="character" w:customStyle="1" w:styleId="483">
    <w:name w:val="requiredmark"/>
    <w:basedOn w:val="29"/>
    <w:uiPriority w:val="0"/>
    <w:rPr>
      <w:color w:val="FF0000"/>
    </w:rPr>
  </w:style>
  <w:style w:type="paragraph" w:customStyle="1" w:styleId="484">
    <w:name w:val="ctxt"/>
    <w:basedOn w:val="1"/>
    <w:uiPriority w:val="0"/>
    <w:pPr>
      <w:pBdr>
        <w:left w:val="none" w:color="auto" w:sz="0" w:space="0"/>
        <w:bottom w:val="dotted" w:color="CCCCCC" w:sz="6" w:space="0"/>
        <w:right w:val="none" w:color="auto" w:sz="0" w:space="0"/>
      </w:pBdr>
      <w:spacing w:before="0" w:beforeAutospacing="0" w:after="0" w:afterAutospacing="0" w:line="375" w:lineRule="atLeast"/>
      <w:ind w:left="0" w:right="0"/>
      <w:jc w:val="left"/>
    </w:pPr>
    <w:rPr>
      <w:kern w:val="0"/>
      <w:sz w:val="18"/>
      <w:szCs w:val="18"/>
      <w:lang w:val="en-US" w:eastAsia="zh-CN" w:bidi="ar"/>
    </w:rPr>
  </w:style>
  <w:style w:type="paragraph" w:customStyle="1" w:styleId="485">
    <w:name w:val="_Style 484"/>
    <w:basedOn w:val="1"/>
    <w:next w:val="1"/>
    <w:uiPriority w:val="0"/>
    <w:pPr>
      <w:pBdr>
        <w:bottom w:val="single" w:color="auto" w:sz="6" w:space="1"/>
      </w:pBdr>
      <w:jc w:val="center"/>
    </w:pPr>
    <w:rPr>
      <w:rFonts w:ascii="Arial" w:eastAsia="宋体"/>
      <w:vanish/>
      <w:sz w:val="16"/>
    </w:rPr>
  </w:style>
  <w:style w:type="paragraph" w:customStyle="1" w:styleId="486">
    <w:name w:val="_Style 485"/>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CF071-5804-48E6-8B5C-CAEE91DAFB5C}">
  <ds:schemaRefs/>
</ds:datastoreItem>
</file>

<file path=docProps/app.xml><?xml version="1.0" encoding="utf-8"?>
<Properties xmlns="http://schemas.openxmlformats.org/officeDocument/2006/extended-properties" xmlns:vt="http://schemas.openxmlformats.org/officeDocument/2006/docPropsVTypes">
  <Template>Normal.dotm</Template>
  <Company>JT</Company>
  <Pages>16</Pages>
  <Words>1214</Words>
  <Characters>6922</Characters>
  <Lines>57</Lines>
  <Paragraphs>16</Paragraphs>
  <TotalTime>19</TotalTime>
  <ScaleCrop>false</ScaleCrop>
  <LinksUpToDate>false</LinksUpToDate>
  <CharactersWithSpaces>8120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2020-10-13T13:21:00Z</dcterms:created>
  <dc:creator>liang ye</dc:creator>
  <cp:lastModifiedBy>罗大燕</cp:lastModifiedBy>
  <cp:lastPrinted>2020-10-19T01:43:00Z</cp:lastPrinted>
  <dcterms:modified xsi:type="dcterms:W3CDTF">2020-10-22T05:59:35Z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