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widowControl w:val="0"/>
        <w:spacing w:after="120" w:line="360" w:lineRule="auto"/>
        <w:ind w:left="420" w:leftChars="200"/>
        <w:jc w:val="center"/>
        <w:rPr>
          <w:rFonts w:ascii="宋体" w:hAnsi="宋体" w:cs="Microsoft JhengHei"/>
          <w:b/>
          <w:position w:val="-1"/>
          <w:sz w:val="36"/>
          <w:szCs w:val="36"/>
        </w:rPr>
      </w:pPr>
      <w:bookmarkStart w:id="0" w:name="_GoBack"/>
      <w:bookmarkEnd w:id="0"/>
      <w:r>
        <w:rPr>
          <w:rFonts w:hint="eastAsia" w:ascii="宋体" w:hAnsi="宋体" w:cs="Microsoft JhengHei"/>
          <w:b/>
          <w:position w:val="-1"/>
          <w:sz w:val="36"/>
          <w:szCs w:val="36"/>
        </w:rPr>
        <w:t>报价方案评审标准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77"/>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80" w:type="dxa"/>
            <w:vMerge w:val="restart"/>
            <w:shd w:val="clear" w:color="auto" w:fill="auto"/>
            <w:noWrap w:val="0"/>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评审因素</w:t>
            </w:r>
          </w:p>
        </w:tc>
        <w:tc>
          <w:tcPr>
            <w:tcW w:w="11770" w:type="dxa"/>
            <w:gridSpan w:val="2"/>
            <w:vMerge w:val="restart"/>
            <w:shd w:val="clear" w:color="auto" w:fill="auto"/>
            <w:noWrap w:val="0"/>
            <w:vAlign w:val="center"/>
          </w:tcPr>
          <w:p>
            <w:pPr>
              <w:spacing w:line="240" w:lineRule="auto"/>
              <w:jc w:val="center"/>
              <w:rPr>
                <w:rFonts w:ascii="宋体" w:hAnsi="宋体" w:cs="Helvetica"/>
                <w:b/>
                <w:bCs/>
                <w:kern w:val="0"/>
                <w:szCs w:val="21"/>
              </w:rPr>
            </w:pPr>
            <w:r>
              <w:rPr>
                <w:rFonts w:ascii="宋体" w:hAnsi="宋体" w:cs="Microsoft JhengHei"/>
                <w:b/>
                <w:position w:val="-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80" w:type="dxa"/>
            <w:vMerge w:val="continue"/>
            <w:shd w:val="clear" w:color="auto" w:fill="auto"/>
            <w:noWrap w:val="0"/>
            <w:vAlign w:val="center"/>
          </w:tcPr>
          <w:p>
            <w:pPr>
              <w:spacing w:line="240" w:lineRule="auto"/>
              <w:jc w:val="center"/>
              <w:rPr>
                <w:rFonts w:ascii="宋体" w:hAnsi="宋体" w:cs="Microsoft JhengHei"/>
                <w:szCs w:val="21"/>
              </w:rPr>
            </w:pPr>
          </w:p>
        </w:tc>
        <w:tc>
          <w:tcPr>
            <w:tcW w:w="11770" w:type="dxa"/>
            <w:gridSpan w:val="2"/>
            <w:vMerge w:val="continue"/>
            <w:shd w:val="clear" w:color="auto" w:fill="auto"/>
            <w:noWrap w:val="0"/>
            <w:vAlign w:val="center"/>
          </w:tcPr>
          <w:p>
            <w:pPr>
              <w:spacing w:line="240" w:lineRule="auto"/>
              <w:jc w:val="center"/>
              <w:rPr>
                <w:rFonts w:ascii="宋体" w:hAnsi="宋体" w:cs="Helvetic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80" w:type="dxa"/>
            <w:shd w:val="clear" w:color="auto" w:fill="auto"/>
            <w:noWrap w:val="0"/>
            <w:vAlign w:val="center"/>
          </w:tcPr>
          <w:p>
            <w:pPr>
              <w:spacing w:line="240" w:lineRule="auto"/>
              <w:jc w:val="center"/>
              <w:rPr>
                <w:rFonts w:ascii="宋体" w:hAnsi="宋体" w:cs="Helvetica"/>
                <w:b/>
                <w:bCs/>
                <w:kern w:val="0"/>
                <w:szCs w:val="21"/>
              </w:rPr>
            </w:pPr>
            <w:r>
              <w:rPr>
                <w:rFonts w:hint="eastAsia" w:ascii="宋体" w:hAnsi="宋体" w:cs="Microsoft JhengHei"/>
                <w:szCs w:val="21"/>
              </w:rPr>
              <w:t>资质审查</w:t>
            </w:r>
          </w:p>
        </w:tc>
        <w:tc>
          <w:tcPr>
            <w:tcW w:w="11770" w:type="dxa"/>
            <w:gridSpan w:val="2"/>
            <w:shd w:val="clear" w:color="auto" w:fill="auto"/>
            <w:noWrap w:val="0"/>
            <w:vAlign w:val="center"/>
          </w:tcPr>
          <w:p>
            <w:pPr>
              <w:widowControl w:val="0"/>
              <w:spacing w:line="240" w:lineRule="auto"/>
              <w:jc w:val="both"/>
              <w:rPr>
                <w:rFonts w:ascii="宋体" w:hAnsi="宋体" w:cs="Helvetica"/>
                <w:b/>
                <w:bCs/>
                <w:kern w:val="0"/>
                <w:szCs w:val="21"/>
              </w:rPr>
            </w:pPr>
            <w:r>
              <w:rPr>
                <w:rFonts w:hint="eastAsia" w:ascii="宋体" w:hAnsi="宋体" w:cs="宋体"/>
                <w:bCs/>
                <w:szCs w:val="21"/>
              </w:rPr>
              <w:t>对照购买服务公告第四点内容进行资料审查，如资料不齐全，则不予通过，不得参加后续评分。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980" w:type="dxa"/>
            <w:vMerge w:val="restart"/>
            <w:shd w:val="clear" w:color="auto" w:fill="auto"/>
            <w:noWrap w:val="0"/>
            <w:vAlign w:val="center"/>
          </w:tcPr>
          <w:p>
            <w:pPr>
              <w:spacing w:line="240" w:lineRule="auto"/>
              <w:jc w:val="center"/>
              <w:rPr>
                <w:rFonts w:ascii="宋体" w:hAnsi="宋体" w:cs="Microsoft JhengHei"/>
                <w:szCs w:val="21"/>
              </w:rPr>
            </w:pPr>
            <w:r>
              <w:rPr>
                <w:rFonts w:ascii="宋体" w:hAnsi="宋体" w:cs="Microsoft JhengHei"/>
                <w:szCs w:val="21"/>
              </w:rPr>
              <w:t>技术部分</w:t>
            </w:r>
          </w:p>
          <w:p>
            <w:pPr>
              <w:spacing w:line="240" w:lineRule="auto"/>
              <w:jc w:val="center"/>
              <w:rPr>
                <w:rFonts w:ascii="宋体" w:hAnsi="宋体" w:cs="Helvetica"/>
                <w:b/>
                <w:bCs/>
                <w:kern w:val="0"/>
                <w:szCs w:val="21"/>
              </w:rPr>
            </w:pPr>
            <w:r>
              <w:rPr>
                <w:rFonts w:hint="eastAsia" w:ascii="宋体" w:hAnsi="宋体" w:cs="Microsoft JhengHei"/>
                <w:szCs w:val="21"/>
              </w:rPr>
              <w:t>（45分）</w:t>
            </w:r>
          </w:p>
        </w:tc>
        <w:tc>
          <w:tcPr>
            <w:tcW w:w="2977" w:type="dxa"/>
            <w:shd w:val="clear" w:color="auto" w:fill="auto"/>
            <w:noWrap w:val="0"/>
            <w:vAlign w:val="center"/>
          </w:tcPr>
          <w:p>
            <w:pPr>
              <w:widowControl w:val="0"/>
              <w:spacing w:line="240" w:lineRule="auto"/>
              <w:jc w:val="center"/>
              <w:rPr>
                <w:rFonts w:ascii="宋体" w:hAnsi="宋体" w:cs="宋体"/>
                <w:szCs w:val="21"/>
              </w:rPr>
            </w:pPr>
            <w:r>
              <w:rPr>
                <w:rFonts w:hint="eastAsia" w:ascii="宋体" w:hAnsi="宋体" w:cs="宋体"/>
                <w:szCs w:val="21"/>
              </w:rPr>
              <w:t>对项目的理解</w:t>
            </w:r>
          </w:p>
          <w:p>
            <w:pPr>
              <w:widowControl w:val="0"/>
              <w:spacing w:line="240" w:lineRule="auto"/>
              <w:jc w:val="center"/>
              <w:rPr>
                <w:rFonts w:ascii="宋体" w:hAnsi="宋体" w:cs="宋体"/>
                <w:szCs w:val="21"/>
              </w:rPr>
            </w:pPr>
            <w:r>
              <w:rPr>
                <w:rFonts w:hint="eastAsia" w:ascii="宋体" w:hAnsi="宋体" w:cs="宋体"/>
                <w:szCs w:val="21"/>
              </w:rPr>
              <w:t>（10分）</w:t>
            </w:r>
          </w:p>
        </w:tc>
        <w:tc>
          <w:tcPr>
            <w:tcW w:w="8793" w:type="dxa"/>
            <w:shd w:val="clear" w:color="auto" w:fill="auto"/>
            <w:noWrap w:val="0"/>
            <w:vAlign w:val="center"/>
          </w:tcPr>
          <w:p>
            <w:pPr>
              <w:widowControl w:val="0"/>
              <w:spacing w:line="240" w:lineRule="auto"/>
              <w:jc w:val="both"/>
              <w:rPr>
                <w:rFonts w:ascii="宋体" w:hAnsi="宋体" w:cs="宋体"/>
                <w:bCs/>
                <w:szCs w:val="21"/>
              </w:rPr>
            </w:pPr>
            <w:r>
              <w:rPr>
                <w:rFonts w:hint="eastAsia" w:ascii="宋体" w:hAnsi="宋体" w:cs="宋体"/>
                <w:bCs/>
                <w:szCs w:val="21"/>
              </w:rPr>
              <w:t>对项目理解全面、准确，认识深刻，</w:t>
            </w:r>
            <w:r>
              <w:rPr>
                <w:rFonts w:ascii="宋体" w:hAnsi="宋体" w:cs="宋体"/>
                <w:bCs/>
                <w:szCs w:val="21"/>
              </w:rPr>
              <w:t>完全满足且优于用户需求得</w:t>
            </w:r>
            <w:r>
              <w:rPr>
                <w:rFonts w:hint="eastAsia" w:ascii="宋体" w:hAnsi="宋体" w:cs="宋体"/>
                <w:bCs/>
                <w:szCs w:val="21"/>
              </w:rPr>
              <w:t>10</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对项目理解较透彻，认识较深刻，</w:t>
            </w:r>
            <w:r>
              <w:rPr>
                <w:rFonts w:ascii="宋体" w:hAnsi="宋体" w:cs="宋体"/>
                <w:bCs/>
                <w:szCs w:val="21"/>
              </w:rPr>
              <w:t>满足用户需求得</w:t>
            </w:r>
            <w:r>
              <w:rPr>
                <w:rFonts w:hint="eastAsia" w:ascii="宋体" w:hAnsi="宋体" w:cs="宋体"/>
                <w:bCs/>
                <w:szCs w:val="21"/>
              </w:rPr>
              <w:t>8</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对项目理解一般，认识一般，</w:t>
            </w:r>
            <w:r>
              <w:rPr>
                <w:rFonts w:ascii="宋体" w:hAnsi="宋体" w:cs="宋体"/>
                <w:bCs/>
                <w:szCs w:val="21"/>
              </w:rPr>
              <w:t>基本满足用户需求得5分；</w:t>
            </w:r>
          </w:p>
          <w:p>
            <w:pPr>
              <w:widowControl w:val="0"/>
              <w:spacing w:line="240" w:lineRule="auto"/>
              <w:jc w:val="both"/>
              <w:rPr>
                <w:rFonts w:ascii="宋体" w:hAnsi="宋体" w:cs="宋体"/>
                <w:bCs/>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980" w:type="dxa"/>
            <w:vMerge w:val="continue"/>
            <w:shd w:val="clear" w:color="auto" w:fill="auto"/>
            <w:noWrap w:val="0"/>
            <w:vAlign w:val="center"/>
          </w:tcPr>
          <w:p>
            <w:pPr>
              <w:spacing w:line="240" w:lineRule="auto"/>
              <w:jc w:val="center"/>
              <w:rPr>
                <w:rFonts w:ascii="宋体" w:hAnsi="宋体" w:cs="Microsoft JhengHei"/>
                <w:szCs w:val="21"/>
              </w:rPr>
            </w:pPr>
          </w:p>
        </w:tc>
        <w:tc>
          <w:tcPr>
            <w:tcW w:w="2977" w:type="dxa"/>
            <w:shd w:val="clear" w:color="auto" w:fill="auto"/>
            <w:noWrap w:val="0"/>
            <w:vAlign w:val="center"/>
          </w:tcPr>
          <w:p>
            <w:pPr>
              <w:widowControl w:val="0"/>
              <w:spacing w:line="240" w:lineRule="auto"/>
              <w:jc w:val="center"/>
              <w:rPr>
                <w:rFonts w:ascii="宋体" w:hAnsi="宋体"/>
                <w:szCs w:val="21"/>
              </w:rPr>
            </w:pPr>
            <w:r>
              <w:rPr>
                <w:rFonts w:hint="eastAsia" w:ascii="宋体" w:hAnsi="宋体"/>
                <w:szCs w:val="21"/>
              </w:rPr>
              <w:t>重点、难点</w:t>
            </w:r>
          </w:p>
          <w:p>
            <w:pPr>
              <w:widowControl w:val="0"/>
              <w:spacing w:line="240" w:lineRule="auto"/>
              <w:jc w:val="center"/>
              <w:rPr>
                <w:rFonts w:ascii="宋体" w:hAnsi="宋体"/>
                <w:szCs w:val="21"/>
              </w:rPr>
            </w:pPr>
            <w:r>
              <w:rPr>
                <w:rFonts w:hint="eastAsia" w:ascii="宋体" w:hAnsi="宋体"/>
                <w:szCs w:val="21"/>
              </w:rPr>
              <w:t>问题及措施</w:t>
            </w:r>
          </w:p>
          <w:p>
            <w:pPr>
              <w:widowControl w:val="0"/>
              <w:spacing w:line="240" w:lineRule="auto"/>
              <w:jc w:val="center"/>
              <w:rPr>
                <w:rFonts w:ascii="宋体" w:hAnsi="宋体"/>
                <w:szCs w:val="21"/>
              </w:rPr>
            </w:pPr>
            <w:r>
              <w:rPr>
                <w:rFonts w:hint="eastAsia" w:ascii="宋体" w:hAnsi="宋体" w:cs="宋体"/>
                <w:szCs w:val="21"/>
              </w:rPr>
              <w:t>（10分）</w:t>
            </w:r>
          </w:p>
        </w:tc>
        <w:tc>
          <w:tcPr>
            <w:tcW w:w="8793" w:type="dxa"/>
            <w:shd w:val="clear" w:color="auto" w:fill="auto"/>
            <w:noWrap w:val="0"/>
            <w:vAlign w:val="center"/>
          </w:tcPr>
          <w:p>
            <w:pPr>
              <w:widowControl w:val="0"/>
              <w:spacing w:line="240" w:lineRule="auto"/>
              <w:jc w:val="both"/>
              <w:rPr>
                <w:rFonts w:ascii="宋体" w:hAnsi="宋体"/>
                <w:szCs w:val="21"/>
              </w:rPr>
            </w:pPr>
            <w:r>
              <w:rPr>
                <w:rFonts w:hint="eastAsia" w:ascii="宋体" w:hAnsi="宋体"/>
                <w:szCs w:val="21"/>
              </w:rPr>
              <w:t>对本项目关键性技术难题在于对行业政策、行业数据与行业发展态势的分析的服务能力。</w:t>
            </w:r>
          </w:p>
          <w:p>
            <w:pPr>
              <w:widowControl w:val="0"/>
              <w:spacing w:line="240" w:lineRule="auto"/>
              <w:jc w:val="both"/>
              <w:rPr>
                <w:rFonts w:ascii="宋体" w:hAnsi="宋体"/>
                <w:szCs w:val="21"/>
              </w:rPr>
            </w:pPr>
            <w:r>
              <w:rPr>
                <w:rFonts w:hint="eastAsia" w:ascii="宋体" w:hAnsi="宋体"/>
                <w:szCs w:val="21"/>
              </w:rPr>
              <w:t>对本项目关键性技术难题理解分析全面、准确、应对措施合理可行</w:t>
            </w:r>
            <w:r>
              <w:rPr>
                <w:rFonts w:ascii="宋体" w:hAnsi="宋体"/>
                <w:szCs w:val="21"/>
              </w:rPr>
              <w:t>, 完全满足且优于用户需求得</w:t>
            </w:r>
            <w:r>
              <w:rPr>
                <w:rFonts w:hint="eastAsia" w:ascii="宋体" w:hAnsi="宋体"/>
                <w:szCs w:val="21"/>
              </w:rPr>
              <w:t>10</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对本项目关键性技术难题理解分析较全面、较准确、应对措施较合理可行</w:t>
            </w:r>
            <w:r>
              <w:rPr>
                <w:rFonts w:ascii="宋体" w:hAnsi="宋体"/>
                <w:szCs w:val="21"/>
              </w:rPr>
              <w:t>, 满足用户需求得</w:t>
            </w:r>
            <w:r>
              <w:rPr>
                <w:rFonts w:hint="eastAsia" w:ascii="宋体" w:hAnsi="宋体"/>
                <w:szCs w:val="21"/>
              </w:rPr>
              <w:t>8</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对本项目关键性技术难题理解分析一般、应对措施一般</w:t>
            </w:r>
            <w:r>
              <w:rPr>
                <w:rFonts w:ascii="宋体" w:hAnsi="宋体"/>
                <w:szCs w:val="21"/>
              </w:rPr>
              <w:t>, 基本满足用户需求得5分；</w:t>
            </w:r>
          </w:p>
          <w:p>
            <w:pPr>
              <w:widowControl w:val="0"/>
              <w:spacing w:line="240" w:lineRule="auto"/>
              <w:jc w:val="both"/>
              <w:rPr>
                <w:rFonts w:hint="eastAsia" w:ascii="宋体" w:hAnsi="宋体"/>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980" w:type="dxa"/>
            <w:vMerge w:val="continue"/>
            <w:shd w:val="clear" w:color="auto" w:fill="auto"/>
            <w:noWrap w:val="0"/>
            <w:vAlign w:val="center"/>
          </w:tcPr>
          <w:p>
            <w:pPr>
              <w:spacing w:line="240" w:lineRule="auto"/>
              <w:jc w:val="center"/>
              <w:rPr>
                <w:rFonts w:ascii="宋体" w:hAnsi="宋体" w:cs="Microsoft JhengHei"/>
                <w:szCs w:val="21"/>
              </w:rPr>
            </w:pPr>
          </w:p>
        </w:tc>
        <w:tc>
          <w:tcPr>
            <w:tcW w:w="2977" w:type="dxa"/>
            <w:shd w:val="clear" w:color="auto" w:fill="auto"/>
            <w:noWrap w:val="0"/>
            <w:vAlign w:val="center"/>
          </w:tcPr>
          <w:p>
            <w:pPr>
              <w:widowControl w:val="0"/>
              <w:spacing w:line="240" w:lineRule="auto"/>
              <w:jc w:val="center"/>
              <w:rPr>
                <w:rFonts w:ascii="宋体" w:hAnsi="宋体" w:cs="宋体"/>
                <w:szCs w:val="21"/>
              </w:rPr>
            </w:pPr>
            <w:r>
              <w:rPr>
                <w:rFonts w:hint="eastAsia" w:ascii="宋体" w:hAnsi="宋体" w:cs="宋体"/>
                <w:szCs w:val="21"/>
              </w:rPr>
              <w:t>工作内容</w:t>
            </w:r>
          </w:p>
          <w:p>
            <w:pPr>
              <w:widowControl w:val="0"/>
              <w:spacing w:line="240" w:lineRule="auto"/>
              <w:jc w:val="center"/>
              <w:rPr>
                <w:rFonts w:ascii="宋体" w:hAnsi="宋体" w:cs="宋体"/>
                <w:szCs w:val="21"/>
              </w:rPr>
            </w:pPr>
            <w:r>
              <w:rPr>
                <w:rFonts w:hint="eastAsia" w:ascii="宋体" w:hAnsi="宋体" w:cs="宋体"/>
                <w:szCs w:val="21"/>
              </w:rPr>
              <w:t>（8分）</w:t>
            </w:r>
          </w:p>
        </w:tc>
        <w:tc>
          <w:tcPr>
            <w:tcW w:w="8793" w:type="dxa"/>
            <w:shd w:val="clear" w:color="auto" w:fill="auto"/>
            <w:noWrap w:val="0"/>
            <w:vAlign w:val="center"/>
          </w:tcPr>
          <w:p>
            <w:pPr>
              <w:widowControl w:val="0"/>
              <w:spacing w:line="240" w:lineRule="auto"/>
              <w:jc w:val="both"/>
              <w:rPr>
                <w:rFonts w:ascii="宋体" w:hAnsi="宋体" w:cs="宋体"/>
                <w:bCs/>
                <w:szCs w:val="21"/>
              </w:rPr>
            </w:pPr>
            <w:r>
              <w:rPr>
                <w:rFonts w:hint="eastAsia" w:ascii="宋体" w:hAnsi="宋体" w:cs="宋体"/>
                <w:bCs/>
                <w:szCs w:val="21"/>
              </w:rPr>
              <w:t>对项目工作内容进行综合评分：</w:t>
            </w:r>
          </w:p>
          <w:p>
            <w:pPr>
              <w:widowControl w:val="0"/>
              <w:spacing w:line="240" w:lineRule="auto"/>
              <w:jc w:val="both"/>
              <w:rPr>
                <w:rFonts w:ascii="宋体" w:hAnsi="宋体" w:cs="宋体"/>
                <w:bCs/>
                <w:szCs w:val="21"/>
              </w:rPr>
            </w:pPr>
            <w:r>
              <w:rPr>
                <w:rFonts w:hint="eastAsia" w:ascii="宋体" w:hAnsi="宋体" w:cs="宋体"/>
                <w:bCs/>
                <w:szCs w:val="21"/>
              </w:rPr>
              <w:t>对主要内容理解全面、系统、到位，完全满足且优于用户需求得8</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对主要内容理解较全面、较系统、较到位，满足用户需求得6</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对主要内容理解不够全面、系统、到位，基本满足用户需求得4</w:t>
            </w:r>
            <w:r>
              <w:rPr>
                <w:rFonts w:ascii="宋体" w:hAnsi="宋体" w:cs="宋体"/>
                <w:bCs/>
                <w:szCs w:val="21"/>
              </w:rPr>
              <w:t>分。</w:t>
            </w:r>
          </w:p>
          <w:p>
            <w:pPr>
              <w:widowControl w:val="0"/>
              <w:spacing w:line="240" w:lineRule="auto"/>
              <w:jc w:val="both"/>
              <w:rPr>
                <w:rFonts w:ascii="宋体" w:hAnsi="宋体" w:cs="宋体"/>
                <w:bCs/>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980" w:type="dxa"/>
            <w:vMerge w:val="continue"/>
            <w:shd w:val="clear" w:color="auto" w:fill="auto"/>
            <w:noWrap w:val="0"/>
            <w:vAlign w:val="center"/>
          </w:tcPr>
          <w:p>
            <w:pPr>
              <w:spacing w:line="240" w:lineRule="auto"/>
              <w:jc w:val="center"/>
              <w:rPr>
                <w:rFonts w:ascii="宋体" w:hAnsi="宋体" w:cs="Microsoft JhengHei"/>
                <w:szCs w:val="21"/>
              </w:rPr>
            </w:pPr>
          </w:p>
        </w:tc>
        <w:tc>
          <w:tcPr>
            <w:tcW w:w="2977" w:type="dxa"/>
            <w:shd w:val="clear" w:color="auto" w:fill="auto"/>
            <w:noWrap w:val="0"/>
            <w:vAlign w:val="center"/>
          </w:tcPr>
          <w:p>
            <w:pPr>
              <w:widowControl w:val="0"/>
              <w:spacing w:line="240" w:lineRule="auto"/>
              <w:jc w:val="center"/>
              <w:rPr>
                <w:rFonts w:ascii="宋体" w:hAnsi="宋体" w:cs="宋体"/>
                <w:szCs w:val="21"/>
              </w:rPr>
            </w:pPr>
            <w:r>
              <w:rPr>
                <w:rFonts w:hint="eastAsia" w:ascii="宋体" w:hAnsi="宋体" w:cs="宋体"/>
                <w:szCs w:val="21"/>
              </w:rPr>
              <w:t>技术路线、</w:t>
            </w:r>
          </w:p>
          <w:p>
            <w:pPr>
              <w:widowControl w:val="0"/>
              <w:spacing w:line="240" w:lineRule="auto"/>
              <w:jc w:val="center"/>
              <w:rPr>
                <w:rFonts w:ascii="宋体" w:hAnsi="宋体" w:cs="宋体"/>
                <w:szCs w:val="21"/>
              </w:rPr>
            </w:pPr>
            <w:r>
              <w:rPr>
                <w:rFonts w:hint="eastAsia" w:ascii="宋体" w:hAnsi="宋体" w:cs="宋体"/>
                <w:szCs w:val="21"/>
              </w:rPr>
              <w:t>方法</w:t>
            </w:r>
          </w:p>
          <w:p>
            <w:pPr>
              <w:widowControl w:val="0"/>
              <w:spacing w:line="240" w:lineRule="auto"/>
              <w:jc w:val="center"/>
              <w:rPr>
                <w:rFonts w:ascii="宋体" w:hAnsi="宋体" w:cs="宋体"/>
                <w:szCs w:val="21"/>
              </w:rPr>
            </w:pPr>
            <w:r>
              <w:rPr>
                <w:rFonts w:hint="eastAsia" w:ascii="宋体" w:hAnsi="宋体" w:cs="宋体"/>
                <w:szCs w:val="21"/>
              </w:rPr>
              <w:t>（8分）</w:t>
            </w:r>
          </w:p>
        </w:tc>
        <w:tc>
          <w:tcPr>
            <w:tcW w:w="8793" w:type="dxa"/>
            <w:shd w:val="clear" w:color="auto" w:fill="auto"/>
            <w:noWrap w:val="0"/>
            <w:vAlign w:val="center"/>
          </w:tcPr>
          <w:p>
            <w:pPr>
              <w:widowControl w:val="0"/>
              <w:spacing w:line="240" w:lineRule="auto"/>
              <w:jc w:val="both"/>
              <w:rPr>
                <w:rFonts w:ascii="宋体" w:hAnsi="宋体"/>
                <w:szCs w:val="21"/>
              </w:rPr>
            </w:pPr>
            <w:r>
              <w:rPr>
                <w:rFonts w:hint="eastAsia" w:ascii="宋体" w:hAnsi="宋体"/>
                <w:szCs w:val="21"/>
              </w:rPr>
              <w:t>合理，可实施，方法和技术路线合理、正确，针对性和可操作性强，完全满足且优于用户需求得8</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较合理，方法和技术路线较合理、正确，针对性和可操作性较强，满足用户需求得6</w:t>
            </w:r>
            <w:r>
              <w:rPr>
                <w:rFonts w:ascii="宋体" w:hAnsi="宋体"/>
                <w:szCs w:val="21"/>
              </w:rPr>
              <w:t>分；</w:t>
            </w:r>
          </w:p>
          <w:p>
            <w:pPr>
              <w:widowControl w:val="0"/>
              <w:spacing w:line="240" w:lineRule="auto"/>
              <w:jc w:val="both"/>
              <w:rPr>
                <w:rFonts w:ascii="宋体" w:hAnsi="宋体"/>
                <w:szCs w:val="21"/>
              </w:rPr>
            </w:pPr>
            <w:r>
              <w:rPr>
                <w:rFonts w:hint="eastAsia" w:ascii="宋体" w:hAnsi="宋体"/>
                <w:szCs w:val="21"/>
              </w:rPr>
              <w:t>不够合理，方法和技术路线一般，针对性和可操作性一版并基本满足用户需求得4</w:t>
            </w:r>
            <w:r>
              <w:rPr>
                <w:rFonts w:ascii="宋体" w:hAnsi="宋体"/>
                <w:szCs w:val="21"/>
              </w:rPr>
              <w:t>分。</w:t>
            </w:r>
          </w:p>
          <w:p>
            <w:pPr>
              <w:widowControl w:val="0"/>
              <w:spacing w:line="240" w:lineRule="auto"/>
              <w:jc w:val="both"/>
              <w:rPr>
                <w:rFonts w:ascii="宋体" w:hAnsi="宋体" w:cs="宋体"/>
                <w:bCs/>
                <w:szCs w:val="21"/>
              </w:rPr>
            </w:pPr>
            <w:r>
              <w:rPr>
                <w:rFonts w:hint="eastAsia" w:ascii="宋体" w:hAnsi="宋体"/>
                <w:szCs w:val="21"/>
              </w:rPr>
              <w:t>完全没有相关内容的，本评分项得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80" w:type="dxa"/>
            <w:vMerge w:val="continue"/>
            <w:shd w:val="clear" w:color="auto" w:fill="auto"/>
            <w:noWrap w:val="0"/>
            <w:vAlign w:val="center"/>
          </w:tcPr>
          <w:p>
            <w:pPr>
              <w:spacing w:line="240" w:lineRule="auto"/>
              <w:jc w:val="center"/>
              <w:rPr>
                <w:rFonts w:ascii="宋体" w:hAnsi="宋体" w:cs="Microsoft JhengHei"/>
                <w:szCs w:val="21"/>
              </w:rPr>
            </w:pPr>
          </w:p>
        </w:tc>
        <w:tc>
          <w:tcPr>
            <w:tcW w:w="2977" w:type="dxa"/>
            <w:shd w:val="clear" w:color="auto" w:fill="auto"/>
            <w:noWrap w:val="0"/>
            <w:vAlign w:val="center"/>
          </w:tcPr>
          <w:p>
            <w:pPr>
              <w:widowControl w:val="0"/>
              <w:snapToGrid w:val="0"/>
              <w:spacing w:line="240" w:lineRule="auto"/>
              <w:jc w:val="center"/>
              <w:rPr>
                <w:rFonts w:ascii="宋体" w:hAnsi="宋体" w:cs="宋体"/>
                <w:szCs w:val="21"/>
              </w:rPr>
            </w:pPr>
            <w:r>
              <w:rPr>
                <w:rFonts w:hint="eastAsia" w:ascii="宋体" w:hAnsi="宋体" w:cs="宋体"/>
                <w:szCs w:val="21"/>
              </w:rPr>
              <w:t>工作进度计划</w:t>
            </w:r>
          </w:p>
          <w:p>
            <w:pPr>
              <w:widowControl w:val="0"/>
              <w:snapToGrid w:val="0"/>
              <w:spacing w:line="240" w:lineRule="auto"/>
              <w:jc w:val="center"/>
              <w:rPr>
                <w:rFonts w:ascii="宋体" w:hAnsi="宋体" w:cs="宋体"/>
                <w:szCs w:val="21"/>
              </w:rPr>
            </w:pPr>
            <w:r>
              <w:rPr>
                <w:rFonts w:hint="eastAsia" w:ascii="宋体" w:hAnsi="宋体" w:cs="宋体"/>
                <w:szCs w:val="21"/>
              </w:rPr>
              <w:t>安排</w:t>
            </w:r>
          </w:p>
          <w:p>
            <w:pPr>
              <w:widowControl w:val="0"/>
              <w:snapToGrid w:val="0"/>
              <w:spacing w:line="240" w:lineRule="auto"/>
              <w:jc w:val="center"/>
              <w:rPr>
                <w:rFonts w:ascii="宋体" w:hAnsi="宋体" w:cs="宋体"/>
                <w:szCs w:val="21"/>
              </w:rPr>
            </w:pPr>
            <w:r>
              <w:rPr>
                <w:rFonts w:hint="eastAsia" w:ascii="宋体" w:hAnsi="宋体" w:cs="宋体"/>
                <w:szCs w:val="21"/>
              </w:rPr>
              <w:t>（</w:t>
            </w:r>
            <w:r>
              <w:rPr>
                <w:rFonts w:ascii="宋体" w:hAnsi="宋体" w:cs="宋体"/>
                <w:szCs w:val="21"/>
              </w:rPr>
              <w:t>9</w:t>
            </w:r>
            <w:r>
              <w:rPr>
                <w:rFonts w:hint="eastAsia" w:ascii="宋体" w:hAnsi="宋体" w:cs="宋体"/>
                <w:szCs w:val="21"/>
              </w:rPr>
              <w:t>分）</w:t>
            </w:r>
          </w:p>
        </w:tc>
        <w:tc>
          <w:tcPr>
            <w:tcW w:w="8793" w:type="dxa"/>
            <w:shd w:val="clear" w:color="auto" w:fill="auto"/>
            <w:noWrap w:val="0"/>
            <w:vAlign w:val="center"/>
          </w:tcPr>
          <w:p>
            <w:pPr>
              <w:widowControl w:val="0"/>
              <w:spacing w:line="240" w:lineRule="auto"/>
              <w:jc w:val="both"/>
              <w:rPr>
                <w:rFonts w:ascii="宋体" w:hAnsi="宋体" w:cs="宋体"/>
                <w:bCs/>
                <w:szCs w:val="21"/>
              </w:rPr>
            </w:pPr>
            <w:r>
              <w:rPr>
                <w:rFonts w:hint="eastAsia" w:ascii="宋体" w:hAnsi="宋体" w:cs="宋体"/>
                <w:bCs/>
                <w:szCs w:val="21"/>
              </w:rPr>
              <w:t>针对本项目的实施进度计划详细、合理，完全满足且优于用户需求得</w:t>
            </w:r>
            <w:r>
              <w:rPr>
                <w:rFonts w:ascii="宋体" w:hAnsi="宋体" w:cs="宋体"/>
                <w:bCs/>
                <w:szCs w:val="21"/>
              </w:rPr>
              <w:t>9分；</w:t>
            </w:r>
          </w:p>
          <w:p>
            <w:pPr>
              <w:widowControl w:val="0"/>
              <w:spacing w:line="240" w:lineRule="auto"/>
              <w:jc w:val="both"/>
              <w:rPr>
                <w:rFonts w:ascii="宋体" w:hAnsi="宋体" w:cs="宋体"/>
                <w:bCs/>
                <w:szCs w:val="21"/>
              </w:rPr>
            </w:pPr>
            <w:r>
              <w:rPr>
                <w:rFonts w:hint="eastAsia" w:ascii="宋体" w:hAnsi="宋体" w:cs="宋体"/>
                <w:bCs/>
                <w:szCs w:val="21"/>
              </w:rPr>
              <w:t>针对本项目的实施进度计划较详细、较合理，满足用户需求得</w:t>
            </w:r>
            <w:r>
              <w:rPr>
                <w:rFonts w:ascii="宋体" w:hAnsi="宋体" w:cs="宋体"/>
                <w:bCs/>
                <w:szCs w:val="21"/>
              </w:rPr>
              <w:t>6分；</w:t>
            </w:r>
          </w:p>
          <w:p>
            <w:pPr>
              <w:widowControl w:val="0"/>
              <w:spacing w:line="240" w:lineRule="auto"/>
              <w:jc w:val="both"/>
              <w:rPr>
                <w:rFonts w:ascii="宋体" w:hAnsi="宋体" w:cs="宋体"/>
                <w:bCs/>
                <w:szCs w:val="21"/>
              </w:rPr>
            </w:pPr>
            <w:r>
              <w:rPr>
                <w:rFonts w:hint="eastAsia" w:ascii="宋体" w:hAnsi="宋体" w:cs="宋体"/>
                <w:bCs/>
                <w:szCs w:val="21"/>
              </w:rPr>
              <w:t>针对本项目的实施进度计划不够详细、合理，基本满足用户需求得</w:t>
            </w:r>
            <w:r>
              <w:rPr>
                <w:rFonts w:ascii="宋体" w:hAnsi="宋体" w:cs="宋体"/>
                <w:bCs/>
                <w:szCs w:val="21"/>
              </w:rPr>
              <w:t>3分；</w:t>
            </w:r>
          </w:p>
          <w:p>
            <w:pPr>
              <w:widowControl w:val="0"/>
              <w:spacing w:line="240" w:lineRule="auto"/>
              <w:jc w:val="both"/>
              <w:rPr>
                <w:rFonts w:ascii="宋体" w:hAnsi="宋体"/>
                <w:szCs w:val="21"/>
              </w:rPr>
            </w:pPr>
            <w:r>
              <w:rPr>
                <w:rFonts w:hint="eastAsia" w:ascii="宋体" w:hAnsi="宋体" w:cs="宋体"/>
                <w:bCs/>
                <w:szCs w:val="21"/>
              </w:rPr>
              <w:t>完全没有相关内容的，本评分项得</w:t>
            </w:r>
            <w:r>
              <w:rPr>
                <w:rFonts w:ascii="宋体" w:hAnsi="宋体" w:cs="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80" w:type="dxa"/>
            <w:vMerge w:val="restart"/>
            <w:shd w:val="clear" w:color="auto" w:fill="auto"/>
            <w:noWrap w:val="0"/>
            <w:vAlign w:val="center"/>
          </w:tcPr>
          <w:p>
            <w:pPr>
              <w:spacing w:line="240" w:lineRule="auto"/>
              <w:jc w:val="center"/>
              <w:rPr>
                <w:rFonts w:ascii="宋体" w:hAnsi="宋体" w:cs="Microsoft JhengHei"/>
                <w:szCs w:val="21"/>
              </w:rPr>
            </w:pPr>
            <w:r>
              <w:rPr>
                <w:rFonts w:ascii="宋体" w:hAnsi="宋体" w:cs="Microsoft JhengHei"/>
                <w:szCs w:val="21"/>
              </w:rPr>
              <w:t>商务部分</w:t>
            </w:r>
          </w:p>
          <w:p>
            <w:pPr>
              <w:spacing w:line="240" w:lineRule="auto"/>
              <w:jc w:val="center"/>
              <w:rPr>
                <w:rFonts w:ascii="宋体" w:hAnsi="宋体" w:cs="Microsoft JhengHei"/>
                <w:szCs w:val="21"/>
              </w:rPr>
            </w:pPr>
            <w:r>
              <w:rPr>
                <w:rFonts w:hint="eastAsia" w:ascii="宋体" w:hAnsi="宋体" w:cs="Microsoft JhengHei"/>
                <w:szCs w:val="21"/>
              </w:rPr>
              <w:t>（45分）</w:t>
            </w:r>
          </w:p>
        </w:tc>
        <w:tc>
          <w:tcPr>
            <w:tcW w:w="2977" w:type="dxa"/>
            <w:shd w:val="clear" w:color="auto" w:fill="auto"/>
            <w:noWrap w:val="0"/>
            <w:vAlign w:val="center"/>
          </w:tcPr>
          <w:p>
            <w:pPr>
              <w:spacing w:line="240" w:lineRule="auto"/>
              <w:jc w:val="center"/>
              <w:rPr>
                <w:rFonts w:ascii="宋体" w:hAnsi="宋体"/>
                <w:color w:val="000000"/>
                <w:szCs w:val="21"/>
              </w:rPr>
            </w:pPr>
            <w:r>
              <w:rPr>
                <w:rFonts w:hint="eastAsia" w:ascii="宋体" w:hAnsi="宋体"/>
                <w:color w:val="000000"/>
                <w:szCs w:val="21"/>
              </w:rPr>
              <w:t>企业、专业资质情况</w:t>
            </w:r>
          </w:p>
          <w:p>
            <w:pPr>
              <w:spacing w:line="240" w:lineRule="auto"/>
              <w:jc w:val="center"/>
              <w:rPr>
                <w:rFonts w:ascii="宋体" w:hAnsi="宋体" w:cs="Helvetica"/>
                <w:b/>
                <w:bCs/>
                <w:kern w:val="0"/>
                <w:szCs w:val="21"/>
              </w:rPr>
            </w:pP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分）</w:t>
            </w:r>
          </w:p>
        </w:tc>
        <w:tc>
          <w:tcPr>
            <w:tcW w:w="8793" w:type="dxa"/>
            <w:shd w:val="clear" w:color="auto" w:fill="auto"/>
            <w:noWrap w:val="0"/>
            <w:vAlign w:val="center"/>
          </w:tcPr>
          <w:p>
            <w:pPr>
              <w:widowControl w:val="0"/>
              <w:spacing w:line="240" w:lineRule="auto"/>
              <w:jc w:val="both"/>
              <w:rPr>
                <w:rFonts w:ascii="宋体" w:hAnsi="宋体" w:cs="宋体"/>
                <w:color w:val="000000"/>
                <w:szCs w:val="21"/>
              </w:rPr>
            </w:pPr>
            <w:r>
              <w:rPr>
                <w:rFonts w:hint="eastAsia" w:ascii="宋体" w:hAnsi="宋体"/>
                <w:color w:val="000000"/>
                <w:szCs w:val="21"/>
              </w:rPr>
              <w:t>投标公司注册资本金不少于</w:t>
            </w:r>
            <w:r>
              <w:rPr>
                <w:rFonts w:ascii="宋体" w:hAnsi="宋体" w:cs="宋体"/>
                <w:color w:val="000000"/>
                <w:szCs w:val="21"/>
              </w:rPr>
              <w:t>100</w:t>
            </w:r>
            <w:r>
              <w:rPr>
                <w:rFonts w:hint="eastAsia" w:ascii="宋体" w:hAnsi="宋体" w:cs="宋体"/>
                <w:color w:val="000000"/>
                <w:szCs w:val="21"/>
              </w:rPr>
              <w:t>万元的，大于</w:t>
            </w:r>
            <w:r>
              <w:rPr>
                <w:rFonts w:ascii="宋体" w:hAnsi="宋体" w:cs="宋体"/>
                <w:color w:val="000000"/>
                <w:szCs w:val="21"/>
              </w:rPr>
              <w:t>100</w:t>
            </w:r>
            <w:r>
              <w:rPr>
                <w:rFonts w:hint="eastAsia" w:ascii="宋体" w:hAnsi="宋体" w:cs="宋体"/>
                <w:color w:val="000000"/>
                <w:szCs w:val="21"/>
              </w:rPr>
              <w:t>万元得</w:t>
            </w:r>
            <w:r>
              <w:rPr>
                <w:rFonts w:ascii="宋体" w:hAnsi="宋体" w:cs="宋体"/>
                <w:color w:val="000000"/>
                <w:szCs w:val="21"/>
              </w:rPr>
              <w:t>3</w:t>
            </w:r>
            <w:r>
              <w:rPr>
                <w:rFonts w:hint="eastAsia" w:ascii="宋体" w:hAnsi="宋体" w:cs="宋体"/>
                <w:color w:val="000000"/>
                <w:szCs w:val="21"/>
              </w:rPr>
              <w:t>分，其余不得分，满分</w:t>
            </w:r>
            <w:r>
              <w:rPr>
                <w:rFonts w:ascii="宋体" w:hAnsi="宋体" w:cs="宋体"/>
                <w:color w:val="000000"/>
                <w:szCs w:val="21"/>
              </w:rPr>
              <w:t>3</w:t>
            </w:r>
            <w:r>
              <w:rPr>
                <w:rFonts w:hint="eastAsia" w:ascii="宋体" w:hAnsi="宋体" w:cs="宋体"/>
                <w:color w:val="000000"/>
                <w:szCs w:val="21"/>
              </w:rPr>
              <w:t>分；</w:t>
            </w:r>
          </w:p>
          <w:p>
            <w:pPr>
              <w:widowControl w:val="0"/>
              <w:spacing w:line="240" w:lineRule="auto"/>
              <w:jc w:val="both"/>
              <w:rPr>
                <w:rFonts w:ascii="宋体" w:hAnsi="宋体" w:cs="宋体"/>
                <w:color w:val="000000"/>
                <w:szCs w:val="21"/>
              </w:rPr>
            </w:pPr>
            <w:r>
              <w:rPr>
                <w:rFonts w:hint="eastAsia" w:ascii="宋体" w:hAnsi="宋体" w:cs="宋体"/>
                <w:color w:val="000000"/>
                <w:szCs w:val="21"/>
              </w:rPr>
              <w:t>省级及以上高新企业或取得广东省社会组织评估等级“5A”级单位得5分，市级高新企业或取得广东省社会组织评估等级“</w:t>
            </w:r>
            <w:r>
              <w:rPr>
                <w:rFonts w:ascii="宋体" w:hAnsi="宋体" w:cs="宋体"/>
                <w:color w:val="000000"/>
                <w:szCs w:val="21"/>
              </w:rPr>
              <w:t>4</w:t>
            </w:r>
            <w:r>
              <w:rPr>
                <w:rFonts w:hint="eastAsia" w:ascii="宋体" w:hAnsi="宋体" w:cs="宋体"/>
                <w:color w:val="000000"/>
                <w:szCs w:val="21"/>
              </w:rPr>
              <w:t>A”级单位得3分，其余不得分，满分5分；</w:t>
            </w:r>
          </w:p>
          <w:p>
            <w:pPr>
              <w:widowControl w:val="0"/>
              <w:spacing w:line="240" w:lineRule="auto"/>
              <w:jc w:val="both"/>
              <w:rPr>
                <w:rFonts w:ascii="宋体" w:hAnsi="宋体" w:cs="宋体"/>
                <w:color w:val="000000"/>
                <w:szCs w:val="21"/>
              </w:rPr>
            </w:pPr>
            <w:r>
              <w:rPr>
                <w:rFonts w:hint="eastAsia" w:ascii="宋体" w:hAnsi="宋体" w:cs="宋体"/>
                <w:color w:val="000000"/>
                <w:szCs w:val="21"/>
              </w:rPr>
              <w:t>国家级、省级行业协会会员单位得</w:t>
            </w:r>
            <w:r>
              <w:rPr>
                <w:rFonts w:ascii="宋体" w:hAnsi="宋体" w:cs="宋体"/>
                <w:color w:val="000000"/>
                <w:szCs w:val="21"/>
              </w:rPr>
              <w:t>3</w:t>
            </w:r>
            <w:r>
              <w:rPr>
                <w:rFonts w:hint="eastAsia" w:ascii="宋体" w:hAnsi="宋体" w:cs="宋体"/>
                <w:color w:val="000000"/>
                <w:szCs w:val="21"/>
              </w:rPr>
              <w:t>分，地市级行业会员单位得</w:t>
            </w:r>
            <w:r>
              <w:rPr>
                <w:rFonts w:ascii="宋体" w:hAnsi="宋体" w:cs="宋体"/>
                <w:color w:val="000000"/>
                <w:szCs w:val="21"/>
              </w:rPr>
              <w:t>2</w:t>
            </w:r>
            <w:r>
              <w:rPr>
                <w:rFonts w:hint="eastAsia" w:ascii="宋体" w:hAnsi="宋体" w:cs="宋体"/>
                <w:color w:val="000000"/>
                <w:szCs w:val="21"/>
              </w:rPr>
              <w:t>分，其余不得分；</w:t>
            </w:r>
          </w:p>
          <w:p>
            <w:pPr>
              <w:widowControl w:val="0"/>
              <w:spacing w:line="240" w:lineRule="auto"/>
              <w:jc w:val="both"/>
              <w:rPr>
                <w:rFonts w:ascii="宋体" w:hAnsi="宋体" w:cs="宋体"/>
                <w:color w:val="000000"/>
                <w:szCs w:val="21"/>
              </w:rPr>
            </w:pPr>
            <w:r>
              <w:rPr>
                <w:rFonts w:hint="eastAsia" w:ascii="宋体" w:hAnsi="宋体" w:cs="宋体"/>
                <w:color w:val="000000"/>
                <w:szCs w:val="21"/>
              </w:rPr>
              <w:t>投标企业或投标联合体具备质量管理体系证书每项1分，满分</w:t>
            </w:r>
            <w:r>
              <w:rPr>
                <w:rFonts w:ascii="宋体" w:hAnsi="宋体" w:cs="宋体"/>
                <w:color w:val="000000"/>
                <w:szCs w:val="21"/>
              </w:rPr>
              <w:t>2</w:t>
            </w:r>
            <w:r>
              <w:rPr>
                <w:rFonts w:hint="eastAsia" w:ascii="宋体" w:hAnsi="宋体" w:cs="宋体"/>
                <w:color w:val="000000"/>
                <w:szCs w:val="21"/>
              </w:rPr>
              <w:t>分。证书仅包括ISO</w:t>
            </w:r>
            <w:r>
              <w:rPr>
                <w:rFonts w:ascii="宋体" w:hAnsi="宋体" w:cs="宋体"/>
                <w:color w:val="000000"/>
                <w:szCs w:val="21"/>
              </w:rPr>
              <w:t>9000</w:t>
            </w:r>
            <w:r>
              <w:rPr>
                <w:rFonts w:hint="eastAsia" w:ascii="宋体" w:hAnsi="宋体" w:cs="宋体"/>
                <w:color w:val="000000"/>
                <w:szCs w:val="21"/>
              </w:rPr>
              <w:t>系、ISO</w:t>
            </w:r>
            <w:r>
              <w:rPr>
                <w:rFonts w:ascii="宋体" w:hAnsi="宋体" w:cs="宋体"/>
                <w:color w:val="000000"/>
                <w:szCs w:val="21"/>
              </w:rPr>
              <w:t>27001</w:t>
            </w:r>
            <w:r>
              <w:rPr>
                <w:rFonts w:hint="eastAsia" w:ascii="宋体" w:hAnsi="宋体" w:cs="宋体"/>
                <w:color w:val="000000"/>
                <w:szCs w:val="21"/>
              </w:rPr>
              <w:t>系</w:t>
            </w:r>
          </w:p>
          <w:p>
            <w:pPr>
              <w:pStyle w:val="2"/>
              <w:spacing w:line="240" w:lineRule="auto"/>
              <w:ind w:left="0" w:firstLine="0" w:firstLineChars="0"/>
              <w:rPr>
                <w:rFonts w:hint="eastAsia"/>
              </w:rPr>
            </w:pPr>
            <w:r>
              <w:rPr>
                <w:rFonts w:hint="eastAsia" w:ascii="宋体" w:hAnsi="宋体" w:eastAsia="宋体" w:cs="宋体"/>
                <w:color w:val="000000"/>
                <w:kern w:val="2"/>
                <w:sz w:val="21"/>
                <w:szCs w:val="21"/>
              </w:rPr>
              <w:t>投标企业或投标联合体取得广东省省本级社会组织承接政府职能转移和购买服务资质的单位得</w:t>
            </w:r>
            <w:r>
              <w:rPr>
                <w:rFonts w:ascii="宋体" w:hAnsi="宋体" w:eastAsia="宋体" w:cs="宋体"/>
                <w:color w:val="000000"/>
                <w:kern w:val="2"/>
                <w:sz w:val="21"/>
                <w:szCs w:val="21"/>
              </w:rPr>
              <w:t>2</w:t>
            </w:r>
            <w:r>
              <w:rPr>
                <w:rFonts w:hint="eastAsia" w:ascii="宋体" w:hAnsi="宋体" w:eastAsia="宋体" w:cs="宋体"/>
                <w:color w:val="000000"/>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80" w:type="dxa"/>
            <w:vMerge w:val="continue"/>
            <w:shd w:val="clear" w:color="auto" w:fill="auto"/>
            <w:noWrap w:val="0"/>
            <w:vAlign w:val="center"/>
          </w:tcPr>
          <w:p>
            <w:pPr>
              <w:spacing w:line="240" w:lineRule="auto"/>
              <w:jc w:val="center"/>
              <w:rPr>
                <w:rFonts w:ascii="宋体" w:hAnsi="宋体" w:cs="Microsoft JhengHei"/>
                <w:szCs w:val="21"/>
              </w:rPr>
            </w:pPr>
          </w:p>
        </w:tc>
        <w:tc>
          <w:tcPr>
            <w:tcW w:w="2977" w:type="dxa"/>
            <w:shd w:val="clear" w:color="auto" w:fill="auto"/>
            <w:noWrap w:val="0"/>
            <w:vAlign w:val="center"/>
          </w:tcPr>
          <w:p>
            <w:pPr>
              <w:spacing w:line="240" w:lineRule="auto"/>
              <w:jc w:val="center"/>
              <w:rPr>
                <w:rFonts w:ascii="宋体" w:hAnsi="宋体"/>
                <w:szCs w:val="21"/>
              </w:rPr>
            </w:pPr>
            <w:r>
              <w:rPr>
                <w:rFonts w:hint="eastAsia" w:ascii="宋体" w:hAnsi="宋体"/>
                <w:szCs w:val="21"/>
              </w:rPr>
              <w:t>项目业绩</w:t>
            </w:r>
          </w:p>
          <w:p>
            <w:pPr>
              <w:spacing w:line="240" w:lineRule="auto"/>
              <w:jc w:val="center"/>
              <w:rPr>
                <w:rFonts w:hint="eastAsia" w:ascii="宋体" w:hAnsi="宋体"/>
                <w:color w:val="000000"/>
                <w:szCs w:val="21"/>
              </w:rPr>
            </w:pPr>
            <w:r>
              <w:rPr>
                <w:rFonts w:hint="eastAsia" w:ascii="宋体" w:hAnsi="宋体"/>
                <w:szCs w:val="21"/>
              </w:rPr>
              <w:t>（</w:t>
            </w:r>
            <w:r>
              <w:rPr>
                <w:rFonts w:ascii="宋体" w:hAnsi="宋体"/>
                <w:szCs w:val="21"/>
              </w:rPr>
              <w:t>15</w:t>
            </w:r>
            <w:r>
              <w:rPr>
                <w:rFonts w:hint="eastAsia" w:ascii="宋体" w:hAnsi="宋体"/>
                <w:szCs w:val="21"/>
              </w:rPr>
              <w:t>分）</w:t>
            </w:r>
          </w:p>
        </w:tc>
        <w:tc>
          <w:tcPr>
            <w:tcW w:w="8793" w:type="dxa"/>
            <w:shd w:val="clear" w:color="auto" w:fill="auto"/>
            <w:noWrap w:val="0"/>
            <w:vAlign w:val="center"/>
          </w:tcPr>
          <w:p>
            <w:pPr>
              <w:widowControl w:val="0"/>
              <w:spacing w:line="240" w:lineRule="auto"/>
              <w:jc w:val="both"/>
              <w:rPr>
                <w:rFonts w:hint="eastAsia" w:ascii="宋体" w:hAnsi="宋体"/>
                <w:color w:val="000000"/>
                <w:szCs w:val="21"/>
              </w:rPr>
            </w:pPr>
            <w:r>
              <w:rPr>
                <w:rFonts w:hint="eastAsia" w:ascii="宋体" w:hAnsi="宋体"/>
                <w:color w:val="000000"/>
                <w:szCs w:val="21"/>
              </w:rPr>
              <w:t>近3年（自然年）（2019年以来）投标人承担的省级政府机构委托的有关交通运输相关的服务事项，属省级及以上机构委托的每项得</w:t>
            </w:r>
            <w:r>
              <w:rPr>
                <w:rFonts w:ascii="宋体" w:hAnsi="宋体"/>
                <w:color w:val="000000"/>
                <w:szCs w:val="21"/>
              </w:rPr>
              <w:t>5</w:t>
            </w:r>
            <w:r>
              <w:rPr>
                <w:rFonts w:hint="eastAsia" w:ascii="宋体" w:hAnsi="宋体"/>
                <w:color w:val="000000"/>
                <w:szCs w:val="21"/>
              </w:rPr>
              <w:t>分，市级部门委托的每项得</w:t>
            </w:r>
            <w:r>
              <w:rPr>
                <w:rFonts w:ascii="宋体" w:hAnsi="宋体"/>
                <w:color w:val="000000"/>
                <w:szCs w:val="21"/>
              </w:rPr>
              <w:t>3</w:t>
            </w:r>
            <w:r>
              <w:rPr>
                <w:rFonts w:hint="eastAsia" w:ascii="宋体" w:hAnsi="宋体"/>
                <w:color w:val="000000"/>
                <w:szCs w:val="21"/>
              </w:rPr>
              <w:t>分，其余不得分，满分</w:t>
            </w:r>
            <w:r>
              <w:rPr>
                <w:rFonts w:ascii="宋体" w:hAnsi="宋体"/>
                <w:color w:val="000000"/>
                <w:szCs w:val="21"/>
              </w:rPr>
              <w:t>15</w:t>
            </w:r>
            <w:r>
              <w:rPr>
                <w:rFonts w:hint="eastAsia" w:ascii="宋体" w:hAnsi="宋体"/>
                <w:color w:val="000000"/>
                <w:szCs w:val="21"/>
              </w:rPr>
              <w:t>分。</w:t>
            </w:r>
            <w:r>
              <w:rPr>
                <w:rFonts w:ascii="宋体" w:hAnsi="宋体"/>
                <w:color w:val="000000"/>
                <w:szCs w:val="21"/>
              </w:rPr>
              <w:t xml:space="preserve"> </w:t>
            </w:r>
            <w:r>
              <w:rPr>
                <w:rFonts w:hint="eastAsia" w:ascii="宋体" w:hAnsi="宋体"/>
                <w:color w:val="000000"/>
                <w:szCs w:val="21"/>
              </w:rPr>
              <w:t>注：需提供相关证书或证明材料复印件。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1980" w:type="dxa"/>
            <w:vMerge w:val="continue"/>
            <w:shd w:val="clear" w:color="auto" w:fill="auto"/>
            <w:noWrap w:val="0"/>
            <w:vAlign w:val="center"/>
          </w:tcPr>
          <w:p>
            <w:pPr>
              <w:spacing w:line="240" w:lineRule="auto"/>
              <w:jc w:val="center"/>
              <w:rPr>
                <w:rFonts w:ascii="宋体" w:hAnsi="宋体" w:cs="Microsoft JhengHei"/>
                <w:szCs w:val="21"/>
              </w:rPr>
            </w:pPr>
          </w:p>
        </w:tc>
        <w:tc>
          <w:tcPr>
            <w:tcW w:w="2977" w:type="dxa"/>
            <w:shd w:val="clear" w:color="auto" w:fill="auto"/>
            <w:noWrap w:val="0"/>
            <w:vAlign w:val="center"/>
          </w:tcPr>
          <w:p>
            <w:pPr>
              <w:spacing w:line="240" w:lineRule="auto"/>
              <w:jc w:val="center"/>
              <w:rPr>
                <w:rFonts w:ascii="宋体" w:hAnsi="宋体"/>
                <w:szCs w:val="21"/>
              </w:rPr>
            </w:pPr>
            <w:r>
              <w:rPr>
                <w:rFonts w:hint="eastAsia" w:ascii="宋体" w:hAnsi="宋体"/>
                <w:szCs w:val="21"/>
              </w:rPr>
              <w:t>拟投入本项目的项目负责人和主要技术人员情况</w:t>
            </w:r>
          </w:p>
          <w:p>
            <w:pPr>
              <w:spacing w:line="240" w:lineRule="auto"/>
              <w:jc w:val="center"/>
              <w:rPr>
                <w:rFonts w:hint="eastAsia" w:ascii="宋体" w:hAnsi="宋体"/>
                <w:color w:val="000000"/>
                <w:szCs w:val="21"/>
              </w:rPr>
            </w:pP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分）</w:t>
            </w:r>
          </w:p>
        </w:tc>
        <w:tc>
          <w:tcPr>
            <w:tcW w:w="8793" w:type="dxa"/>
            <w:shd w:val="clear" w:color="auto" w:fill="auto"/>
            <w:noWrap w:val="0"/>
            <w:vAlign w:val="center"/>
          </w:tcPr>
          <w:p>
            <w:pPr>
              <w:spacing w:line="240" w:lineRule="auto"/>
              <w:rPr>
                <w:rFonts w:ascii="宋体" w:hAnsi="宋体" w:cs="宋体"/>
                <w:szCs w:val="21"/>
              </w:rPr>
            </w:pPr>
            <w:r>
              <w:rPr>
                <w:rFonts w:hint="eastAsia" w:ascii="宋体" w:hAnsi="宋体" w:cs="宋体"/>
                <w:szCs w:val="21"/>
              </w:rPr>
              <w:t>拟投入本项目的项目负责人和主要技术人员具备以下条件的：</w:t>
            </w:r>
          </w:p>
          <w:p>
            <w:pPr>
              <w:numPr>
                <w:ilvl w:val="0"/>
                <w:numId w:val="1"/>
              </w:numPr>
              <w:spacing w:line="240" w:lineRule="auto"/>
              <w:ind w:left="0" w:firstLine="0"/>
              <w:rPr>
                <w:rFonts w:ascii="宋体" w:hAnsi="宋体"/>
                <w:szCs w:val="21"/>
              </w:rPr>
            </w:pPr>
            <w:r>
              <w:rPr>
                <w:rFonts w:hint="eastAsia" w:ascii="宋体" w:hAnsi="宋体"/>
                <w:szCs w:val="21"/>
              </w:rPr>
              <w:t>项目团队拟投入规模。项目团队每投入1人得0</w:t>
            </w:r>
            <w:r>
              <w:rPr>
                <w:rFonts w:ascii="宋体" w:hAnsi="宋体"/>
                <w:szCs w:val="21"/>
              </w:rPr>
              <w:t>.5</w:t>
            </w:r>
            <w:r>
              <w:rPr>
                <w:rFonts w:hint="eastAsia" w:ascii="宋体" w:hAnsi="宋体"/>
                <w:szCs w:val="21"/>
              </w:rPr>
              <w:t>分；最高5分。</w:t>
            </w:r>
          </w:p>
          <w:p>
            <w:pPr>
              <w:numPr>
                <w:ilvl w:val="0"/>
                <w:numId w:val="1"/>
              </w:numPr>
              <w:spacing w:line="240" w:lineRule="auto"/>
              <w:ind w:left="0" w:firstLine="0"/>
              <w:rPr>
                <w:rFonts w:ascii="宋体" w:hAnsi="宋体"/>
                <w:szCs w:val="21"/>
              </w:rPr>
            </w:pPr>
            <w:r>
              <w:rPr>
                <w:rFonts w:hint="eastAsia" w:ascii="宋体" w:hAnsi="宋体"/>
                <w:szCs w:val="21"/>
              </w:rPr>
              <w:t>项目负责人从业年限和行业经验，从业年限（以负责人最高学历毕业年份开始计算）满1</w:t>
            </w:r>
            <w:r>
              <w:rPr>
                <w:rFonts w:ascii="宋体" w:hAnsi="宋体"/>
                <w:szCs w:val="21"/>
              </w:rPr>
              <w:t>0</w:t>
            </w:r>
            <w:r>
              <w:rPr>
                <w:rFonts w:hint="eastAsia" w:ascii="宋体" w:hAnsi="宋体"/>
                <w:szCs w:val="21"/>
              </w:rPr>
              <w:t>年得</w:t>
            </w:r>
            <w:r>
              <w:rPr>
                <w:rFonts w:ascii="宋体" w:hAnsi="宋体"/>
                <w:szCs w:val="21"/>
              </w:rPr>
              <w:t>5</w:t>
            </w:r>
            <w:r>
              <w:rPr>
                <w:rFonts w:hint="eastAsia" w:ascii="宋体" w:hAnsi="宋体"/>
                <w:szCs w:val="21"/>
              </w:rPr>
              <w:t>分，满5年得1分，其余不得分；最高5分。</w:t>
            </w:r>
          </w:p>
          <w:p>
            <w:pPr>
              <w:pStyle w:val="2"/>
              <w:numPr>
                <w:ilvl w:val="0"/>
                <w:numId w:val="1"/>
              </w:numPr>
              <w:spacing w:line="240" w:lineRule="auto"/>
              <w:ind w:firstLineChars="0"/>
              <w:rPr>
                <w:rFonts w:hint="eastAsia" w:ascii="宋体" w:hAnsi="宋体" w:eastAsia="宋体"/>
                <w:sz w:val="21"/>
                <w:szCs w:val="21"/>
              </w:rPr>
            </w:pPr>
            <w:r>
              <w:rPr>
                <w:rFonts w:hint="eastAsia" w:ascii="宋体" w:hAnsi="宋体" w:eastAsia="宋体"/>
                <w:sz w:val="21"/>
                <w:szCs w:val="21"/>
              </w:rPr>
              <w:t>项目成员取得高级职称的，每投入1人得2分，取得中级职称的，每投入1人得1分，需提供项目成员的社保证明或劳务合同扫描件作为证明文件；最高5分。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0" w:type="dxa"/>
            <w:shd w:val="clear" w:color="auto" w:fill="auto"/>
            <w:noWrap w:val="0"/>
            <w:vAlign w:val="center"/>
          </w:tcPr>
          <w:p>
            <w:pPr>
              <w:spacing w:line="240" w:lineRule="auto"/>
              <w:jc w:val="center"/>
              <w:rPr>
                <w:rFonts w:ascii="宋体" w:hAnsi="宋体" w:cs="Microsoft JhengHei"/>
                <w:szCs w:val="21"/>
              </w:rPr>
            </w:pPr>
            <w:r>
              <w:rPr>
                <w:rFonts w:hint="eastAsia" w:ascii="宋体" w:hAnsi="宋体" w:cs="Microsoft JhengHei"/>
                <w:szCs w:val="21"/>
              </w:rPr>
              <w:t>价格部分</w:t>
            </w:r>
          </w:p>
        </w:tc>
        <w:tc>
          <w:tcPr>
            <w:tcW w:w="2977" w:type="dxa"/>
            <w:shd w:val="clear" w:color="auto" w:fill="auto"/>
            <w:noWrap w:val="0"/>
            <w:vAlign w:val="center"/>
          </w:tcPr>
          <w:p>
            <w:pPr>
              <w:spacing w:line="240" w:lineRule="auto"/>
              <w:jc w:val="center"/>
              <w:rPr>
                <w:rFonts w:ascii="宋体" w:hAnsi="宋体" w:cs="Microsoft JhengHei"/>
                <w:szCs w:val="21"/>
              </w:rPr>
            </w:pPr>
            <w:r>
              <w:rPr>
                <w:rFonts w:hint="eastAsia" w:ascii="宋体" w:hAnsi="宋体" w:cs="Microsoft JhengHei"/>
                <w:szCs w:val="21"/>
              </w:rPr>
              <w:t>价格</w:t>
            </w:r>
            <w:r>
              <w:rPr>
                <w:rFonts w:ascii="宋体" w:hAnsi="宋体" w:cs="Microsoft JhengHei"/>
                <w:szCs w:val="21"/>
              </w:rPr>
              <w:t>得分</w:t>
            </w:r>
          </w:p>
          <w:p>
            <w:pPr>
              <w:spacing w:line="240" w:lineRule="auto"/>
              <w:jc w:val="center"/>
              <w:rPr>
                <w:rFonts w:ascii="宋体" w:hAnsi="宋体"/>
                <w:szCs w:val="21"/>
              </w:rPr>
            </w:pPr>
            <w:r>
              <w:rPr>
                <w:rFonts w:hint="eastAsia" w:ascii="宋体" w:hAnsi="宋体" w:cs="Microsoft JhengHei"/>
                <w:szCs w:val="21"/>
              </w:rPr>
              <w:t>（10分）</w:t>
            </w:r>
          </w:p>
        </w:tc>
        <w:tc>
          <w:tcPr>
            <w:tcW w:w="8793" w:type="dxa"/>
            <w:shd w:val="clear" w:color="auto" w:fill="auto"/>
            <w:noWrap w:val="0"/>
            <w:vAlign w:val="center"/>
          </w:tcPr>
          <w:p>
            <w:pPr>
              <w:widowControl w:val="0"/>
              <w:spacing w:line="240" w:lineRule="auto"/>
              <w:jc w:val="both"/>
              <w:rPr>
                <w:rFonts w:ascii="宋体" w:hAnsi="宋体" w:cs="宋体"/>
                <w:szCs w:val="21"/>
              </w:rPr>
            </w:pPr>
            <w:r>
              <w:rPr>
                <w:rFonts w:hint="eastAsia" w:ascii="宋体" w:hAnsi="宋体" w:cs="宋体"/>
                <w:szCs w:val="21"/>
              </w:rPr>
              <w:t>价格</w:t>
            </w:r>
            <w:r>
              <w:rPr>
                <w:rFonts w:ascii="宋体" w:hAnsi="宋体" w:cs="宋体"/>
                <w:szCs w:val="21"/>
              </w:rPr>
              <w:t>得分=</w:t>
            </w:r>
            <w:r>
              <w:rPr>
                <w:rFonts w:hint="eastAsia" w:ascii="宋体" w:hAnsi="宋体" w:cs="宋体"/>
                <w:szCs w:val="21"/>
              </w:rPr>
              <w:t>（基准价/报价）*价格评分权重。</w:t>
            </w:r>
          </w:p>
          <w:p>
            <w:pPr>
              <w:widowControl w:val="0"/>
              <w:spacing w:after="120" w:line="240" w:lineRule="auto"/>
              <w:ind w:left="420" w:leftChars="200"/>
              <w:jc w:val="both"/>
              <w:rPr>
                <w:rFonts w:ascii="宋体" w:hAnsi="宋体" w:cs="宋体"/>
                <w:szCs w:val="21"/>
              </w:rPr>
            </w:pPr>
            <w:r>
              <w:rPr>
                <w:rFonts w:hint="eastAsia" w:ascii="宋体" w:hAnsi="宋体" w:cs="宋体"/>
                <w:szCs w:val="21"/>
              </w:rPr>
              <w:t>说明：取最低报价为基准价。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80" w:type="dxa"/>
            <w:shd w:val="clear" w:color="auto" w:fill="auto"/>
            <w:noWrap w:val="0"/>
            <w:vAlign w:val="center"/>
          </w:tcPr>
          <w:p>
            <w:pPr>
              <w:spacing w:line="240" w:lineRule="auto"/>
              <w:jc w:val="center"/>
              <w:rPr>
                <w:rFonts w:ascii="宋体" w:hAnsi="宋体" w:cs="Microsoft JhengHei"/>
                <w:szCs w:val="21"/>
              </w:rPr>
            </w:pPr>
            <w:r>
              <w:rPr>
                <w:rFonts w:hint="eastAsia" w:ascii="宋体" w:hAnsi="宋体" w:cs="Microsoft JhengHei"/>
                <w:szCs w:val="21"/>
              </w:rPr>
              <w:t>总分</w:t>
            </w:r>
          </w:p>
        </w:tc>
        <w:tc>
          <w:tcPr>
            <w:tcW w:w="2977" w:type="dxa"/>
            <w:shd w:val="clear" w:color="auto" w:fill="auto"/>
            <w:noWrap w:val="0"/>
            <w:vAlign w:val="center"/>
          </w:tcPr>
          <w:p>
            <w:pPr>
              <w:spacing w:line="240" w:lineRule="auto"/>
              <w:jc w:val="center"/>
              <w:rPr>
                <w:rFonts w:ascii="宋体" w:hAnsi="宋体" w:cs="Microsoft JhengHei"/>
                <w:szCs w:val="21"/>
              </w:rPr>
            </w:pPr>
            <w:r>
              <w:rPr>
                <w:rFonts w:hint="eastAsia" w:ascii="宋体" w:hAnsi="宋体" w:cs="Microsoft JhengHei"/>
                <w:szCs w:val="21"/>
              </w:rPr>
              <w:t>100分</w:t>
            </w:r>
          </w:p>
        </w:tc>
        <w:tc>
          <w:tcPr>
            <w:tcW w:w="8793" w:type="dxa"/>
            <w:shd w:val="clear" w:color="auto" w:fill="auto"/>
            <w:noWrap w:val="0"/>
            <w:vAlign w:val="center"/>
          </w:tcPr>
          <w:p>
            <w:pPr>
              <w:widowControl w:val="0"/>
              <w:spacing w:line="240" w:lineRule="auto"/>
              <w:jc w:val="both"/>
              <w:rPr>
                <w:rFonts w:ascii="宋体" w:hAnsi="宋体" w:cs="宋体"/>
                <w:szCs w:val="21"/>
              </w:rPr>
            </w:pPr>
          </w:p>
        </w:tc>
      </w:tr>
    </w:tbl>
    <w:p>
      <w:pPr>
        <w:pStyle w:val="2"/>
        <w:ind w:left="0" w:leftChars="0" w:firstLine="0" w:firstLineChars="0"/>
        <w:rPr>
          <w:rFonts w:hint="eastAsia" w:ascii="仿宋_GB2312" w:eastAsia="仿宋_GB2312"/>
          <w:sz w:val="32"/>
          <w:szCs w:val="32"/>
          <w:lang w:eastAsia="zh-CN"/>
        </w:rPr>
      </w:pPr>
    </w:p>
    <w:p/>
    <w:sectPr>
      <w:pgSz w:w="16838" w:h="11906" w:orient="landscape"/>
      <w:pgMar w:top="1803" w:right="1440" w:bottom="1803" w:left="1440" w:header="851" w:footer="992" w:gutter="0"/>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93AFC"/>
    <w:multiLevelType w:val="multilevel"/>
    <w:tmpl w:val="37493A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52274061"/>
    <w:rsid w:val="503840C7"/>
    <w:rsid w:val="5227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200"/>
    </w:pPr>
  </w:style>
  <w:style w:type="paragraph" w:styleId="3">
    <w:name w:val="Body Text Indent"/>
    <w:basedOn w:val="1"/>
    <w:qFormat/>
    <w:uiPriority w:val="0"/>
    <w:pPr>
      <w:ind w:firstLine="830" w:firstLineChars="352"/>
    </w:pPr>
    <w:rPr>
      <w:rFonts w:ascii="仿宋_GB2312" w:eastAsia="仿宋_GB2312"/>
      <w:kern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2022-07-27T08:47:00Z</dcterms:created>
  <dc:creator>liuch</dc:creator>
  <cp:lastModifiedBy>liuch</cp:lastModifiedBy>
  <dcterms:modified xsi:type="dcterms:W3CDTF">2022-07-27T08:48:39Z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0443130DF8044EFF98711D7D08BF5316</vt:lpwstr>
  </property>
</Properties>
</file>