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p>
    <w:p>
      <w:pPr>
        <w:widowControl w:val="0"/>
        <w:spacing w:after="120" w:line="360" w:lineRule="auto"/>
        <w:ind w:left="420" w:leftChars="200"/>
        <w:jc w:val="center"/>
        <w:rPr>
          <w:rFonts w:ascii="宋体" w:hAnsi="宋体" w:cs="Microsoft JhengHei"/>
          <w:b/>
          <w:position w:val="-1"/>
          <w:sz w:val="36"/>
          <w:szCs w:val="36"/>
        </w:rPr>
      </w:pPr>
      <w:r>
        <w:rPr>
          <w:rFonts w:hint="eastAsia" w:ascii="宋体" w:hAnsi="宋体" w:cs="Microsoft JhengHei"/>
          <w:b/>
          <w:position w:val="-1"/>
          <w:sz w:val="36"/>
          <w:szCs w:val="36"/>
        </w:rPr>
        <w:t>报价方案评审标准</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977"/>
        <w:gridCol w:w="8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80" w:type="dxa"/>
            <w:vMerge w:val="restart"/>
            <w:shd w:val="clear" w:color="auto" w:fill="auto"/>
            <w:vAlign w:val="center"/>
          </w:tcPr>
          <w:p>
            <w:pPr>
              <w:spacing w:line="240" w:lineRule="auto"/>
              <w:jc w:val="center"/>
              <w:rPr>
                <w:rFonts w:ascii="宋体" w:hAnsi="宋体" w:cs="Helvetica"/>
                <w:b/>
                <w:bCs/>
                <w:kern w:val="0"/>
                <w:szCs w:val="21"/>
              </w:rPr>
            </w:pPr>
            <w:r>
              <w:rPr>
                <w:rFonts w:ascii="宋体" w:hAnsi="宋体" w:cs="Microsoft JhengHei"/>
                <w:b/>
                <w:position w:val="-1"/>
                <w:szCs w:val="21"/>
              </w:rPr>
              <w:t>评审因素</w:t>
            </w:r>
          </w:p>
        </w:tc>
        <w:tc>
          <w:tcPr>
            <w:tcW w:w="11770" w:type="dxa"/>
            <w:gridSpan w:val="2"/>
            <w:vMerge w:val="restart"/>
            <w:shd w:val="clear" w:color="auto" w:fill="auto"/>
            <w:vAlign w:val="center"/>
          </w:tcPr>
          <w:p>
            <w:pPr>
              <w:spacing w:line="240" w:lineRule="auto"/>
              <w:jc w:val="center"/>
              <w:rPr>
                <w:rFonts w:ascii="宋体" w:hAnsi="宋体" w:cs="Helvetica"/>
                <w:b/>
                <w:bCs/>
                <w:kern w:val="0"/>
                <w:szCs w:val="21"/>
              </w:rPr>
            </w:pPr>
            <w:r>
              <w:rPr>
                <w:rFonts w:ascii="宋体" w:hAnsi="宋体" w:cs="Microsoft JhengHei"/>
                <w:b/>
                <w:position w:val="-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980" w:type="dxa"/>
            <w:vMerge w:val="continue"/>
            <w:shd w:val="clear" w:color="auto" w:fill="auto"/>
            <w:vAlign w:val="center"/>
          </w:tcPr>
          <w:p>
            <w:pPr>
              <w:spacing w:line="240" w:lineRule="auto"/>
              <w:jc w:val="center"/>
              <w:rPr>
                <w:rFonts w:ascii="宋体" w:hAnsi="宋体" w:cs="Microsoft JhengHei"/>
                <w:szCs w:val="21"/>
              </w:rPr>
            </w:pPr>
          </w:p>
        </w:tc>
        <w:tc>
          <w:tcPr>
            <w:tcW w:w="11770" w:type="dxa"/>
            <w:gridSpan w:val="2"/>
            <w:vMerge w:val="continue"/>
            <w:shd w:val="clear" w:color="auto" w:fill="auto"/>
            <w:vAlign w:val="center"/>
          </w:tcPr>
          <w:p>
            <w:pPr>
              <w:spacing w:line="240" w:lineRule="auto"/>
              <w:jc w:val="center"/>
              <w:rPr>
                <w:rFonts w:ascii="宋体" w:hAnsi="宋体" w:cs="Helvetic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980" w:type="dxa"/>
            <w:shd w:val="clear" w:color="auto" w:fill="auto"/>
            <w:vAlign w:val="center"/>
          </w:tcPr>
          <w:p>
            <w:pPr>
              <w:spacing w:line="240" w:lineRule="auto"/>
              <w:jc w:val="center"/>
              <w:rPr>
                <w:rFonts w:ascii="宋体" w:hAnsi="宋体" w:cs="Helvetica"/>
                <w:b/>
                <w:bCs/>
                <w:kern w:val="0"/>
                <w:szCs w:val="21"/>
              </w:rPr>
            </w:pPr>
            <w:r>
              <w:rPr>
                <w:rFonts w:hint="eastAsia" w:ascii="宋体" w:hAnsi="宋体" w:cs="Microsoft JhengHei"/>
                <w:szCs w:val="21"/>
              </w:rPr>
              <w:t>资质审查</w:t>
            </w:r>
          </w:p>
        </w:tc>
        <w:tc>
          <w:tcPr>
            <w:tcW w:w="11770" w:type="dxa"/>
            <w:gridSpan w:val="2"/>
            <w:shd w:val="clear" w:color="auto" w:fill="auto"/>
            <w:vAlign w:val="center"/>
          </w:tcPr>
          <w:p>
            <w:pPr>
              <w:widowControl w:val="0"/>
              <w:spacing w:line="240" w:lineRule="auto"/>
              <w:jc w:val="both"/>
              <w:rPr>
                <w:rFonts w:ascii="宋体" w:hAnsi="宋体" w:cs="Helvetica"/>
                <w:b/>
                <w:bCs/>
                <w:kern w:val="0"/>
                <w:szCs w:val="21"/>
              </w:rPr>
            </w:pPr>
            <w:r>
              <w:rPr>
                <w:rFonts w:hint="eastAsia" w:ascii="宋体" w:hAnsi="宋体" w:cs="宋体"/>
                <w:bCs/>
                <w:szCs w:val="21"/>
              </w:rPr>
              <w:t>对照购买服务公告第四点内容进行资料审查，如资料不齐全，则不予通过，不得参加后续评分。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1980" w:type="dxa"/>
            <w:vMerge w:val="restart"/>
            <w:shd w:val="clear" w:color="auto" w:fill="auto"/>
            <w:vAlign w:val="center"/>
          </w:tcPr>
          <w:p>
            <w:pPr>
              <w:spacing w:line="240" w:lineRule="auto"/>
              <w:jc w:val="center"/>
              <w:rPr>
                <w:rFonts w:ascii="宋体" w:hAnsi="宋体" w:cs="Microsoft JhengHei"/>
                <w:szCs w:val="21"/>
              </w:rPr>
            </w:pPr>
            <w:r>
              <w:rPr>
                <w:rFonts w:ascii="宋体" w:hAnsi="宋体" w:cs="Microsoft JhengHei"/>
                <w:szCs w:val="21"/>
              </w:rPr>
              <w:t>技术部分</w:t>
            </w:r>
          </w:p>
          <w:p>
            <w:pPr>
              <w:spacing w:line="240" w:lineRule="auto"/>
              <w:jc w:val="center"/>
              <w:rPr>
                <w:rFonts w:ascii="宋体" w:hAnsi="宋体" w:cs="Helvetica"/>
                <w:b/>
                <w:bCs/>
                <w:kern w:val="0"/>
                <w:szCs w:val="21"/>
              </w:rPr>
            </w:pPr>
            <w:r>
              <w:rPr>
                <w:rFonts w:hint="eastAsia" w:ascii="宋体" w:hAnsi="宋体" w:cs="Microsoft JhengHei"/>
                <w:szCs w:val="21"/>
              </w:rPr>
              <w:t>（45分）</w:t>
            </w:r>
          </w:p>
        </w:tc>
        <w:tc>
          <w:tcPr>
            <w:tcW w:w="2977" w:type="dxa"/>
            <w:shd w:val="clear" w:color="auto" w:fill="auto"/>
            <w:vAlign w:val="center"/>
          </w:tcPr>
          <w:p>
            <w:pPr>
              <w:widowControl w:val="0"/>
              <w:spacing w:line="24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项目方案详细程度</w:t>
            </w:r>
          </w:p>
          <w:p>
            <w:pPr>
              <w:widowControl w:val="0"/>
              <w:spacing w:line="240" w:lineRule="auto"/>
              <w:jc w:val="center"/>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（15分）</w:t>
            </w:r>
          </w:p>
        </w:tc>
        <w:tc>
          <w:tcPr>
            <w:tcW w:w="8793" w:type="dxa"/>
            <w:shd w:val="clear" w:color="auto" w:fill="auto"/>
            <w:vAlign w:val="center"/>
          </w:tcPr>
          <w:p>
            <w:pPr>
              <w:widowControl w:val="0"/>
              <w:spacing w:line="240" w:lineRule="auto"/>
              <w:jc w:val="both"/>
            </w:pPr>
            <w:r>
              <w:t>根据</w:t>
            </w:r>
            <w:r>
              <w:rPr>
                <w:rFonts w:hint="eastAsia"/>
              </w:rPr>
              <w:t>供应商</w:t>
            </w:r>
            <w:r>
              <w:t>提供的服务方案，对项目方案详细程度、项目目标、项目内容的分析深度进行评分：</w:t>
            </w:r>
          </w:p>
          <w:p>
            <w:pPr>
              <w:widowControl w:val="0"/>
              <w:spacing w:line="240" w:lineRule="auto"/>
              <w:jc w:val="both"/>
            </w:pPr>
            <w:r>
              <w:t>项目目标清晰明确、内容分析深入透彻，完全满足且优于项目需求的，得15分；</w:t>
            </w:r>
          </w:p>
          <w:p>
            <w:pPr>
              <w:widowControl w:val="0"/>
              <w:spacing w:line="240" w:lineRule="auto"/>
              <w:jc w:val="both"/>
            </w:pPr>
            <w:r>
              <w:t>理解基本的项目目标、有项目内容的基础分析，完全满足项目需求的，得10分；</w:t>
            </w:r>
          </w:p>
          <w:p>
            <w:pPr>
              <w:widowControl w:val="0"/>
              <w:spacing w:line="240" w:lineRule="auto"/>
              <w:jc w:val="both"/>
            </w:pPr>
            <w:r>
              <w:t>项目目标模糊、分析较显浅，不完全满足项目需求的，得5分；</w:t>
            </w:r>
          </w:p>
          <w:p>
            <w:pPr>
              <w:widowControl w:val="0"/>
              <w:spacing w:line="240" w:lineRule="auto"/>
              <w:jc w:val="both"/>
              <w:rPr>
                <w:rFonts w:ascii="宋体" w:hAnsi="宋体"/>
                <w:color w:val="000000" w:themeColor="text1"/>
                <w:szCs w:val="21"/>
                <w14:textFill>
                  <w14:solidFill>
                    <w14:schemeClr w14:val="tx1"/>
                  </w14:solidFill>
                </w14:textFill>
              </w:rPr>
            </w:pPr>
            <w:r>
              <w:t>未提交</w:t>
            </w:r>
            <w:r>
              <w:rPr>
                <w:rFonts w:hint="eastAsia"/>
              </w:rPr>
              <w:t>相关</w:t>
            </w:r>
            <w:r>
              <w:t>内容或其他情况得0分。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980" w:type="dxa"/>
            <w:vMerge w:val="continue"/>
            <w:shd w:val="clear" w:color="auto" w:fill="auto"/>
            <w:vAlign w:val="center"/>
          </w:tcPr>
          <w:p>
            <w:pPr>
              <w:spacing w:line="240" w:lineRule="auto"/>
              <w:jc w:val="center"/>
              <w:rPr>
                <w:rFonts w:ascii="宋体" w:hAnsi="宋体" w:cs="Microsoft JhengHei"/>
                <w:szCs w:val="21"/>
              </w:rPr>
            </w:pPr>
          </w:p>
        </w:tc>
        <w:tc>
          <w:tcPr>
            <w:tcW w:w="2977" w:type="dxa"/>
            <w:shd w:val="clear" w:color="auto" w:fill="auto"/>
            <w:vAlign w:val="center"/>
          </w:tcPr>
          <w:p>
            <w:pPr>
              <w:widowControl w:val="0"/>
              <w:spacing w:line="240" w:lineRule="auto"/>
              <w:jc w:val="center"/>
            </w:pPr>
            <w:r>
              <w:t xml:space="preserve">项目重点、难点分析 </w:t>
            </w:r>
          </w:p>
          <w:p>
            <w:pPr>
              <w:widowControl w:val="0"/>
              <w:spacing w:line="24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（10分）</w:t>
            </w:r>
          </w:p>
        </w:tc>
        <w:tc>
          <w:tcPr>
            <w:tcW w:w="8793" w:type="dxa"/>
            <w:shd w:val="clear" w:color="auto" w:fill="auto"/>
            <w:vAlign w:val="center"/>
          </w:tcPr>
          <w:p>
            <w:pPr>
              <w:widowControl w:val="0"/>
              <w:spacing w:line="240" w:lineRule="auto"/>
            </w:pPr>
            <w:r>
              <w:t>根据供应商</w:t>
            </w:r>
            <w:r>
              <w:rPr>
                <w:rFonts w:hint="eastAsia"/>
              </w:rPr>
              <w:t>提供的服务方案</w:t>
            </w:r>
            <w:r>
              <w:t>，对项目重点、难点分析内容进行</w:t>
            </w:r>
            <w:r>
              <w:rPr>
                <w:rFonts w:hint="eastAsia"/>
              </w:rPr>
              <w:t>评分</w:t>
            </w:r>
            <w:r>
              <w:t>，考查供应商针对本项目的重点、难点分析是否合理、得当、透彻，应对措施是否具体、可操作性是否强，是否符合地方实际情况与需求：</w:t>
            </w:r>
          </w:p>
          <w:p>
            <w:pPr>
              <w:widowControl w:val="0"/>
              <w:spacing w:line="240" w:lineRule="auto"/>
            </w:pPr>
            <w:r>
              <w:t>内容针对项目重点、应对措施具体完整、操作性强、符合地方实际情况，完全满足且优于项目需求的，得</w:t>
            </w:r>
            <w:r>
              <w:rPr>
                <w:rFonts w:hint="eastAsia"/>
              </w:rPr>
              <w:t>10</w:t>
            </w:r>
            <w:r>
              <w:t>分；</w:t>
            </w:r>
          </w:p>
          <w:p>
            <w:pPr>
              <w:widowControl w:val="0"/>
              <w:spacing w:line="240" w:lineRule="auto"/>
            </w:pPr>
            <w:r>
              <w:t>内容有重点、应对措施完整、有操作性、基本符合地方实际情况，完全满足项目需求的，得</w:t>
            </w:r>
            <w:r>
              <w:rPr>
                <w:rFonts w:hint="eastAsia"/>
              </w:rPr>
              <w:t>7</w:t>
            </w:r>
            <w:r>
              <w:t>分；</w:t>
            </w:r>
          </w:p>
          <w:p>
            <w:pPr>
              <w:widowControl w:val="0"/>
              <w:spacing w:line="240" w:lineRule="auto"/>
            </w:pPr>
            <w:r>
              <w:t>响应内容有缺漏、应对措施或操作性有欠缺，不完全满足本项目要求的，得</w:t>
            </w:r>
            <w:r>
              <w:rPr>
                <w:rFonts w:hint="eastAsia"/>
              </w:rPr>
              <w:t>4</w:t>
            </w:r>
            <w:r>
              <w:t>分；</w:t>
            </w:r>
          </w:p>
          <w:p>
            <w:pPr>
              <w:widowControl w:val="0"/>
              <w:spacing w:line="240" w:lineRule="auto"/>
              <w:rPr>
                <w:rFonts w:ascii="宋体" w:hAnsi="宋体"/>
                <w:color w:val="000000" w:themeColor="text1"/>
                <w:szCs w:val="21"/>
                <w14:textFill>
                  <w14:solidFill>
                    <w14:schemeClr w14:val="tx1"/>
                  </w14:solidFill>
                </w14:textFill>
              </w:rPr>
            </w:pPr>
            <w:r>
              <w:t>未提交响应内容或其他情况得0分。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80" w:type="dxa"/>
            <w:vMerge w:val="continue"/>
            <w:shd w:val="clear" w:color="auto" w:fill="auto"/>
            <w:vAlign w:val="center"/>
          </w:tcPr>
          <w:p>
            <w:pPr>
              <w:spacing w:line="240" w:lineRule="auto"/>
              <w:jc w:val="center"/>
              <w:rPr>
                <w:rFonts w:ascii="宋体" w:hAnsi="宋体" w:cs="Microsoft JhengHei"/>
                <w:szCs w:val="21"/>
              </w:rPr>
            </w:pPr>
          </w:p>
        </w:tc>
        <w:tc>
          <w:tcPr>
            <w:tcW w:w="2977" w:type="dxa"/>
            <w:shd w:val="clear" w:color="auto" w:fill="auto"/>
            <w:vAlign w:val="center"/>
          </w:tcPr>
          <w:p>
            <w:pPr>
              <w:widowControl w:val="0"/>
              <w:spacing w:line="24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质量保证措施及服务承诺</w:t>
            </w:r>
          </w:p>
          <w:p>
            <w:pPr>
              <w:widowControl w:val="0"/>
              <w:spacing w:line="24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（8分）</w:t>
            </w:r>
          </w:p>
        </w:tc>
        <w:tc>
          <w:tcPr>
            <w:tcW w:w="8793" w:type="dxa"/>
            <w:shd w:val="clear" w:color="auto" w:fill="auto"/>
            <w:vAlign w:val="center"/>
          </w:tcPr>
          <w:p>
            <w:pPr>
              <w:widowControl w:val="0"/>
              <w:spacing w:line="240" w:lineRule="auto"/>
              <w:jc w:val="both"/>
            </w:pPr>
            <w:r>
              <w:rPr>
                <w:rFonts w:hint="eastAsia"/>
              </w:rPr>
              <w:t>根据</w:t>
            </w:r>
            <w:r>
              <w:t>供应商针对本项目</w:t>
            </w:r>
            <w:r>
              <w:rPr>
                <w:rFonts w:hint="eastAsia"/>
              </w:rPr>
              <w:t>提供的</w:t>
            </w:r>
            <w:r>
              <w:t>成果质量保证措施</w:t>
            </w:r>
            <w:r>
              <w:rPr>
                <w:rFonts w:hint="eastAsia"/>
              </w:rPr>
              <w:t>及服务承诺进行评分</w:t>
            </w:r>
            <w:r>
              <w:t>：</w:t>
            </w:r>
          </w:p>
          <w:p>
            <w:pPr>
              <w:widowControl w:val="0"/>
              <w:spacing w:line="240" w:lineRule="auto"/>
              <w:jc w:val="both"/>
            </w:pPr>
            <w:r>
              <w:t>质量保证措施具体完善、完全满足且优于项目需求的，得</w:t>
            </w:r>
            <w:r>
              <w:rPr>
                <w:rFonts w:hint="eastAsia"/>
              </w:rPr>
              <w:t>8</w:t>
            </w:r>
            <w:r>
              <w:t>分；</w:t>
            </w:r>
          </w:p>
          <w:p>
            <w:pPr>
              <w:widowControl w:val="0"/>
              <w:spacing w:line="240" w:lineRule="auto"/>
              <w:jc w:val="both"/>
            </w:pPr>
            <w:r>
              <w:t>有可行的质量保证措施、完全满足项目需求的，得</w:t>
            </w:r>
            <w:r>
              <w:rPr>
                <w:rFonts w:hint="eastAsia"/>
              </w:rPr>
              <w:t>5</w:t>
            </w:r>
            <w:r>
              <w:t>分；</w:t>
            </w:r>
          </w:p>
          <w:p>
            <w:pPr>
              <w:widowControl w:val="0"/>
              <w:spacing w:line="240" w:lineRule="auto"/>
              <w:jc w:val="both"/>
            </w:pPr>
            <w:r>
              <w:t>质量保证措施缺乏可行性、不完全满足项目需求的，得</w:t>
            </w:r>
            <w:r>
              <w:rPr>
                <w:rFonts w:hint="eastAsia"/>
              </w:rPr>
              <w:t>3</w:t>
            </w:r>
            <w:r>
              <w:t>分；</w:t>
            </w:r>
          </w:p>
          <w:p>
            <w:pPr>
              <w:widowControl w:val="0"/>
              <w:spacing w:line="240" w:lineRule="auto"/>
              <w:jc w:val="both"/>
              <w:rPr>
                <w:rFonts w:ascii="宋体" w:hAnsi="宋体"/>
                <w:color w:val="000000" w:themeColor="text1"/>
                <w:szCs w:val="21"/>
                <w14:textFill>
                  <w14:solidFill>
                    <w14:schemeClr w14:val="tx1"/>
                  </w14:solidFill>
                </w14:textFill>
              </w:rPr>
            </w:pPr>
            <w:r>
              <w:t>未提交响应内容或其他情况，得0分。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980" w:type="dxa"/>
            <w:shd w:val="clear" w:color="auto" w:fill="auto"/>
            <w:vAlign w:val="center"/>
          </w:tcPr>
          <w:p>
            <w:pPr>
              <w:spacing w:line="240" w:lineRule="auto"/>
              <w:jc w:val="center"/>
              <w:rPr>
                <w:rFonts w:ascii="宋体" w:hAnsi="宋体" w:cs="Microsoft JhengHei"/>
                <w:szCs w:val="21"/>
              </w:rPr>
            </w:pPr>
          </w:p>
        </w:tc>
        <w:tc>
          <w:tcPr>
            <w:tcW w:w="2977" w:type="dxa"/>
            <w:shd w:val="clear" w:color="auto" w:fill="auto"/>
            <w:vAlign w:val="center"/>
          </w:tcPr>
          <w:p>
            <w:pPr>
              <w:widowControl w:val="0"/>
              <w:spacing w:line="240" w:lineRule="auto"/>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供应商宣传推广能力 </w:t>
            </w:r>
          </w:p>
          <w:p>
            <w:pPr>
              <w:widowControl w:val="0"/>
              <w:spacing w:line="240" w:lineRule="auto"/>
              <w:jc w:val="center"/>
              <w:rPr>
                <w:rFonts w:ascii="宋体" w:hAnsi="宋体"/>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(12分)</w:t>
            </w:r>
          </w:p>
        </w:tc>
        <w:tc>
          <w:tcPr>
            <w:tcW w:w="8793" w:type="dxa"/>
            <w:shd w:val="clear" w:color="auto" w:fill="auto"/>
            <w:vAlign w:val="center"/>
          </w:tcPr>
          <w:p>
            <w:pPr>
              <w:widowControl w:val="0"/>
              <w:spacing w:line="240" w:lineRule="auto"/>
              <w:jc w:val="both"/>
            </w:pPr>
            <w:r>
              <w:rPr>
                <w:rFonts w:hint="eastAsia"/>
              </w:rPr>
              <w:t>根据</w:t>
            </w:r>
            <w:r>
              <w:t>供应商</w:t>
            </w:r>
            <w:r>
              <w:rPr>
                <w:rFonts w:hint="eastAsia"/>
              </w:rPr>
              <w:t>的</w:t>
            </w:r>
            <w:r>
              <w:t>媒体资源丰富</w:t>
            </w:r>
            <w:r>
              <w:rPr>
                <w:rFonts w:hint="eastAsia"/>
              </w:rPr>
              <w:t>程度</w:t>
            </w:r>
            <w:r>
              <w:t>、宣传推广途径广泛</w:t>
            </w:r>
            <w:r>
              <w:rPr>
                <w:rFonts w:hint="eastAsia"/>
              </w:rPr>
              <w:t>程度进行评分</w:t>
            </w:r>
            <w:r>
              <w:t>，</w:t>
            </w:r>
            <w:r>
              <w:rPr>
                <w:rFonts w:hint="eastAsia"/>
              </w:rPr>
              <w:t>例如是否具有自有宣传平台/渠道如APP端，以及利用</w:t>
            </w:r>
            <w:r>
              <w:t>今日头条、网易、腾讯、知乎、豆瓣、抖音、微信公众号等大众新媒体资源对工作进行宣传</w:t>
            </w:r>
            <w:r>
              <w:rPr>
                <w:rFonts w:hint="eastAsia"/>
              </w:rPr>
              <w:t>的</w:t>
            </w:r>
            <w:r>
              <w:t>经验与能力</w:t>
            </w:r>
            <w:r>
              <w:rPr>
                <w:rFonts w:hint="eastAsia"/>
              </w:rPr>
              <w:t>：</w:t>
            </w:r>
          </w:p>
          <w:p>
            <w:pPr>
              <w:widowControl w:val="0"/>
              <w:spacing w:line="240" w:lineRule="auto"/>
              <w:jc w:val="both"/>
            </w:pPr>
            <w:r>
              <w:t>优于采购需求得</w:t>
            </w:r>
            <w:r>
              <w:rPr>
                <w:rFonts w:hint="eastAsia"/>
              </w:rPr>
              <w:t>12</w:t>
            </w:r>
            <w:r>
              <w:t>分，满足采购需求的得</w:t>
            </w:r>
            <w:r>
              <w:rPr>
                <w:rFonts w:hint="eastAsia"/>
                <w:lang w:val="en-US" w:eastAsia="zh-CN"/>
              </w:rPr>
              <w:t>10</w:t>
            </w:r>
            <w:r>
              <w:t>分，不完全满足</w:t>
            </w:r>
            <w:r>
              <w:rPr>
                <w:rFonts w:hint="eastAsia"/>
                <w:lang w:eastAsia="zh-CN"/>
              </w:rPr>
              <w:t>采购</w:t>
            </w:r>
            <w:r>
              <w:t>需求的得</w:t>
            </w:r>
            <w:r>
              <w:rPr>
                <w:rFonts w:hint="eastAsia"/>
                <w:lang w:val="en-US" w:eastAsia="zh-CN"/>
              </w:rPr>
              <w:t>5</w:t>
            </w:r>
            <w:r>
              <w:t>分</w:t>
            </w:r>
            <w:r>
              <w:rPr>
                <w:rFonts w:hint="eastAsia"/>
                <w:lang w:eastAsia="zh-CN"/>
              </w:rPr>
              <w:t>，</w:t>
            </w:r>
            <w:r>
              <w:t>未提交响应内容或其他情况得0分。</w:t>
            </w:r>
          </w:p>
          <w:p>
            <w:pPr>
              <w:widowControl w:val="0"/>
              <w:spacing w:line="240" w:lineRule="auto"/>
              <w:jc w:val="both"/>
              <w:rPr>
                <w:rFonts w:ascii="宋体" w:hAnsi="宋体"/>
                <w:color w:val="000000" w:themeColor="text1"/>
                <w:szCs w:val="21"/>
                <w14:textFill>
                  <w14:solidFill>
                    <w14:schemeClr w14:val="tx1"/>
                  </w14:solidFill>
                </w14:textFill>
              </w:rPr>
            </w:pPr>
            <w:r>
              <w:t>注：需提供相关有效证明资料复印件并加盖</w:t>
            </w:r>
            <w:r>
              <w:rPr>
                <w:rFonts w:hint="eastAsia"/>
              </w:rPr>
              <w:t>供应商</w:t>
            </w:r>
            <w:r>
              <w:t>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980" w:type="dxa"/>
            <w:vMerge w:val="restart"/>
            <w:shd w:val="clear" w:color="auto" w:fill="auto"/>
            <w:vAlign w:val="center"/>
          </w:tcPr>
          <w:p>
            <w:pPr>
              <w:spacing w:line="240" w:lineRule="auto"/>
              <w:jc w:val="center"/>
              <w:rPr>
                <w:rFonts w:ascii="宋体" w:hAnsi="宋体" w:cs="Microsoft JhengHei"/>
                <w:szCs w:val="21"/>
              </w:rPr>
            </w:pPr>
          </w:p>
          <w:p>
            <w:pPr>
              <w:spacing w:line="240" w:lineRule="auto"/>
              <w:jc w:val="center"/>
              <w:rPr>
                <w:rFonts w:ascii="宋体" w:hAnsi="宋体" w:cs="Microsoft JhengHei"/>
                <w:szCs w:val="21"/>
              </w:rPr>
            </w:pPr>
          </w:p>
          <w:p>
            <w:pPr>
              <w:spacing w:line="240" w:lineRule="auto"/>
              <w:jc w:val="center"/>
              <w:rPr>
                <w:rFonts w:ascii="宋体" w:hAnsi="宋体" w:cs="Microsoft JhengHei"/>
                <w:szCs w:val="21"/>
              </w:rPr>
            </w:pPr>
          </w:p>
          <w:p>
            <w:pPr>
              <w:spacing w:line="240" w:lineRule="auto"/>
              <w:jc w:val="center"/>
              <w:rPr>
                <w:rFonts w:ascii="宋体" w:hAnsi="宋体" w:cs="Microsoft JhengHei"/>
                <w:szCs w:val="21"/>
              </w:rPr>
            </w:pPr>
            <w:r>
              <w:rPr>
                <w:rFonts w:ascii="宋体" w:hAnsi="宋体" w:cs="Microsoft JhengHei"/>
                <w:szCs w:val="21"/>
              </w:rPr>
              <w:t>商务部分</w:t>
            </w:r>
          </w:p>
          <w:p>
            <w:pPr>
              <w:spacing w:line="240" w:lineRule="auto"/>
              <w:jc w:val="center"/>
              <w:rPr>
                <w:rFonts w:ascii="宋体" w:hAnsi="宋体" w:cs="Microsoft JhengHei"/>
                <w:szCs w:val="21"/>
              </w:rPr>
            </w:pPr>
            <w:r>
              <w:rPr>
                <w:rFonts w:hint="eastAsia" w:ascii="宋体" w:hAnsi="宋体" w:cs="Microsoft JhengHei"/>
                <w:szCs w:val="21"/>
              </w:rPr>
              <w:t>（45分）</w:t>
            </w:r>
          </w:p>
        </w:tc>
        <w:tc>
          <w:tcPr>
            <w:tcW w:w="2977" w:type="dxa"/>
            <w:shd w:val="clear" w:color="auto" w:fill="auto"/>
            <w:vAlign w:val="center"/>
          </w:tcPr>
          <w:p>
            <w:pPr>
              <w:widowControl w:val="0"/>
              <w:spacing w:line="240" w:lineRule="auto"/>
              <w:jc w:val="center"/>
              <w:rPr>
                <w:rFonts w:ascii="宋体" w:hAnsi="宋体"/>
                <w:szCs w:val="21"/>
              </w:rPr>
            </w:pPr>
            <w:r>
              <w:rPr>
                <w:rFonts w:hint="eastAsia" w:ascii="宋体" w:hAnsi="宋体"/>
                <w:szCs w:val="21"/>
              </w:rPr>
              <w:t>类似项目业绩</w:t>
            </w:r>
          </w:p>
          <w:p>
            <w:pPr>
              <w:widowControl w:val="0"/>
              <w:spacing w:line="240" w:lineRule="auto"/>
              <w:jc w:val="center"/>
              <w:rPr>
                <w:rFonts w:ascii="宋体" w:hAnsi="宋体"/>
                <w:szCs w:val="21"/>
              </w:rPr>
            </w:pPr>
            <w:r>
              <w:rPr>
                <w:rFonts w:hint="eastAsia" w:ascii="宋体" w:hAnsi="宋体"/>
                <w:szCs w:val="21"/>
              </w:rPr>
              <w:t>（10分）</w:t>
            </w:r>
          </w:p>
        </w:tc>
        <w:tc>
          <w:tcPr>
            <w:tcW w:w="8793" w:type="dxa"/>
            <w:shd w:val="clear" w:color="auto" w:fill="auto"/>
            <w:vAlign w:val="center"/>
          </w:tcPr>
          <w:p>
            <w:pPr>
              <w:widowControl w:val="0"/>
              <w:spacing w:line="240" w:lineRule="auto"/>
              <w:jc w:val="both"/>
              <w:rPr>
                <w:rFonts w:ascii="宋体" w:hAnsi="宋体"/>
                <w:szCs w:val="21"/>
              </w:rPr>
            </w:pPr>
            <w:r>
              <w:rPr>
                <w:rFonts w:hint="eastAsia" w:ascii="宋体" w:hAnsi="宋体"/>
                <w:szCs w:val="21"/>
              </w:rPr>
              <w:t>供应商2019年1月1日以来（以合同签订的时间为准），承接过政务宣传项目的，每提供一个得2分，最高得10分。</w:t>
            </w:r>
          </w:p>
          <w:p>
            <w:pPr>
              <w:widowControl w:val="0"/>
              <w:spacing w:line="240" w:lineRule="auto"/>
              <w:jc w:val="both"/>
              <w:rPr>
                <w:rFonts w:ascii="宋体" w:hAnsi="宋体"/>
                <w:szCs w:val="21"/>
              </w:rPr>
            </w:pPr>
            <w:r>
              <w:rPr>
                <w:rFonts w:hint="eastAsia" w:ascii="宋体" w:hAnsi="宋体"/>
                <w:szCs w:val="21"/>
              </w:rPr>
              <w:t>注：须提供合同关键页</w:t>
            </w:r>
            <w:r>
              <w:t>（含签订合同双方的单位名称、合同项目名</w:t>
            </w:r>
            <w:bookmarkStart w:id="0" w:name="_GoBack"/>
            <w:bookmarkEnd w:id="0"/>
            <w:r>
              <w:t>称、项目金额与含签订合同双方的落款盖章、签订日期的关键页）</w:t>
            </w:r>
            <w:r>
              <w:rPr>
                <w:rFonts w:hint="eastAsia" w:ascii="宋体" w:hAnsi="宋体"/>
                <w:szCs w:val="21"/>
              </w:rPr>
              <w:t>扫描件作为证明材料。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980" w:type="dxa"/>
            <w:vMerge w:val="continue"/>
            <w:shd w:val="clear" w:color="auto" w:fill="auto"/>
            <w:vAlign w:val="center"/>
          </w:tcPr>
          <w:p>
            <w:pPr>
              <w:spacing w:line="240" w:lineRule="auto"/>
              <w:jc w:val="center"/>
              <w:rPr>
                <w:rFonts w:ascii="宋体" w:hAnsi="宋体" w:cs="Microsoft JhengHei"/>
                <w:szCs w:val="21"/>
              </w:rPr>
            </w:pPr>
          </w:p>
        </w:tc>
        <w:tc>
          <w:tcPr>
            <w:tcW w:w="2977" w:type="dxa"/>
            <w:shd w:val="clear" w:color="auto" w:fill="auto"/>
            <w:vAlign w:val="center"/>
          </w:tcPr>
          <w:p>
            <w:pPr>
              <w:widowControl w:val="0"/>
              <w:spacing w:line="240" w:lineRule="auto"/>
              <w:jc w:val="center"/>
              <w:rPr>
                <w:rFonts w:ascii="宋体" w:hAnsi="宋体"/>
                <w:szCs w:val="21"/>
              </w:rPr>
            </w:pPr>
            <w:r>
              <w:rPr>
                <w:rFonts w:hint="eastAsia" w:ascii="宋体" w:hAnsi="宋体"/>
                <w:szCs w:val="21"/>
              </w:rPr>
              <w:t>服务评价</w:t>
            </w:r>
          </w:p>
          <w:p>
            <w:pPr>
              <w:widowControl w:val="0"/>
              <w:spacing w:line="240" w:lineRule="auto"/>
              <w:jc w:val="center"/>
            </w:pPr>
            <w:r>
              <w:rPr>
                <w:rFonts w:hint="eastAsia" w:ascii="宋体" w:hAnsi="宋体"/>
                <w:szCs w:val="21"/>
              </w:rPr>
              <w:t>（10分）</w:t>
            </w:r>
          </w:p>
        </w:tc>
        <w:tc>
          <w:tcPr>
            <w:tcW w:w="8793" w:type="dxa"/>
            <w:shd w:val="clear" w:color="auto" w:fill="auto"/>
            <w:vAlign w:val="center"/>
          </w:tcPr>
          <w:p>
            <w:pPr>
              <w:widowControl w:val="0"/>
              <w:spacing w:line="240" w:lineRule="auto"/>
              <w:jc w:val="both"/>
            </w:pPr>
            <w:r>
              <w:rPr>
                <w:rFonts w:hint="eastAsia"/>
              </w:rPr>
              <w:t>提供上一项评审项“类似项目业绩”的客户评价情况，每提供1份客户正面评价（优秀或良好或满意或80分及以上等类似评价）有效材料得2分，客户评价格式自定，本项最高得10分。</w:t>
            </w:r>
          </w:p>
          <w:p>
            <w:pPr>
              <w:widowControl w:val="0"/>
              <w:spacing w:line="240" w:lineRule="auto"/>
              <w:jc w:val="both"/>
              <w:rPr>
                <w:rFonts w:eastAsia="仿宋_GB2312"/>
              </w:rPr>
            </w:pPr>
            <w:r>
              <w:rPr>
                <w:rFonts w:hint="eastAsia"/>
              </w:rPr>
              <w:t>注：需提供相关证明材料复印件并加盖公章。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980" w:type="dxa"/>
            <w:vMerge w:val="continue"/>
            <w:shd w:val="clear" w:color="auto" w:fill="auto"/>
            <w:vAlign w:val="center"/>
          </w:tcPr>
          <w:p>
            <w:pPr>
              <w:spacing w:line="240" w:lineRule="auto"/>
              <w:jc w:val="center"/>
              <w:rPr>
                <w:rFonts w:ascii="宋体" w:hAnsi="宋体" w:cs="Microsoft JhengHei"/>
                <w:szCs w:val="21"/>
              </w:rPr>
            </w:pPr>
          </w:p>
        </w:tc>
        <w:tc>
          <w:tcPr>
            <w:tcW w:w="2977" w:type="dxa"/>
            <w:shd w:val="clear" w:color="auto" w:fill="auto"/>
            <w:vAlign w:val="center"/>
          </w:tcPr>
          <w:p>
            <w:pPr>
              <w:widowControl w:val="0"/>
              <w:spacing w:line="240" w:lineRule="auto"/>
              <w:jc w:val="center"/>
              <w:rPr>
                <w:rFonts w:ascii="宋体" w:hAnsi="宋体"/>
                <w:szCs w:val="21"/>
              </w:rPr>
            </w:pPr>
            <w:r>
              <w:rPr>
                <w:rFonts w:hint="eastAsia" w:ascii="宋体" w:hAnsi="宋体"/>
                <w:szCs w:val="21"/>
              </w:rPr>
              <w:t>供应商荣誉情况</w:t>
            </w:r>
          </w:p>
          <w:p>
            <w:pPr>
              <w:widowControl w:val="0"/>
              <w:spacing w:line="240" w:lineRule="auto"/>
              <w:jc w:val="center"/>
            </w:pPr>
            <w:r>
              <w:rPr>
                <w:rFonts w:hint="eastAsia" w:ascii="宋体" w:hAnsi="宋体"/>
                <w:szCs w:val="21"/>
              </w:rPr>
              <w:t>（10分）</w:t>
            </w:r>
          </w:p>
        </w:tc>
        <w:tc>
          <w:tcPr>
            <w:tcW w:w="8793" w:type="dxa"/>
            <w:shd w:val="clear" w:color="auto" w:fill="auto"/>
            <w:vAlign w:val="center"/>
          </w:tcPr>
          <w:p>
            <w:pPr>
              <w:widowControl w:val="0"/>
              <w:spacing w:line="240" w:lineRule="auto"/>
              <w:jc w:val="both"/>
              <w:rPr>
                <w:rFonts w:ascii="宋体" w:hAnsi="宋体"/>
                <w:szCs w:val="21"/>
              </w:rPr>
            </w:pPr>
            <w:r>
              <w:rPr>
                <w:rFonts w:hint="eastAsia" w:ascii="宋体" w:hAnsi="宋体"/>
                <w:szCs w:val="21"/>
              </w:rPr>
              <w:t>对供应商自2019年1月1日以内获得过的有关政府部门颁发的媒体类或宣传类等奖项、荣誉情况进行评审：</w:t>
            </w:r>
          </w:p>
          <w:p>
            <w:pPr>
              <w:widowControl w:val="0"/>
              <w:spacing w:line="240" w:lineRule="auto"/>
              <w:jc w:val="both"/>
              <w:rPr>
                <w:rFonts w:ascii="宋体" w:hAnsi="宋体"/>
                <w:szCs w:val="21"/>
              </w:rPr>
            </w:pPr>
            <w:r>
              <w:rPr>
                <w:rFonts w:hint="eastAsia" w:ascii="宋体" w:hAnsi="宋体"/>
                <w:szCs w:val="21"/>
              </w:rPr>
              <w:t>获得过国家级媒体类或宣传类等奖项或荣誉，每提供1个得3分；获得过省级媒体类或宣传类等奖项或荣誉，每提供1个得2分；获得过市级媒体类或宣传类等奖项或荣誉，每提供1个得1分；以上累计得分，本项最高得10分。</w:t>
            </w:r>
          </w:p>
          <w:p>
            <w:pPr>
              <w:widowControl w:val="0"/>
              <w:spacing w:line="240" w:lineRule="auto"/>
              <w:jc w:val="both"/>
              <w:rPr>
                <w:rFonts w:ascii="宋体" w:hAnsi="宋体"/>
                <w:szCs w:val="21"/>
              </w:rPr>
            </w:pPr>
            <w:r>
              <w:rPr>
                <w:rFonts w:hint="eastAsia" w:ascii="宋体" w:hAnsi="宋体"/>
                <w:szCs w:val="21"/>
              </w:rPr>
              <w:t>注：须同时提供以下证明材料：①须提供相关证书复印件等证明材料并加盖公章；②时间以证明材料载明的颁发日期为准。未按要求提供证明材料的，不得分。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980" w:type="dxa"/>
            <w:vMerge w:val="continue"/>
            <w:shd w:val="clear" w:color="auto" w:fill="auto"/>
            <w:vAlign w:val="center"/>
          </w:tcPr>
          <w:p>
            <w:pPr>
              <w:spacing w:line="240" w:lineRule="auto"/>
              <w:jc w:val="center"/>
              <w:rPr>
                <w:rFonts w:ascii="宋体" w:hAnsi="宋体" w:cs="Microsoft JhengHei"/>
                <w:szCs w:val="21"/>
              </w:rPr>
            </w:pPr>
          </w:p>
        </w:tc>
        <w:tc>
          <w:tcPr>
            <w:tcW w:w="2977" w:type="dxa"/>
            <w:shd w:val="clear" w:color="auto" w:fill="auto"/>
            <w:vAlign w:val="center"/>
          </w:tcPr>
          <w:p>
            <w:pPr>
              <w:widowControl w:val="0"/>
              <w:spacing w:line="240" w:lineRule="auto"/>
              <w:jc w:val="center"/>
              <w:rPr>
                <w:rFonts w:ascii="宋体" w:hAnsi="宋体"/>
                <w:szCs w:val="21"/>
              </w:rPr>
            </w:pPr>
            <w:r>
              <w:rPr>
                <w:rFonts w:hint="eastAsia" w:ascii="宋体" w:hAnsi="宋体"/>
                <w:szCs w:val="21"/>
              </w:rPr>
              <w:t>拟投入本项目的项目负责人及团队成员情况</w:t>
            </w:r>
          </w:p>
          <w:p>
            <w:pPr>
              <w:widowControl w:val="0"/>
              <w:spacing w:line="240" w:lineRule="auto"/>
              <w:jc w:val="center"/>
              <w:rPr>
                <w:rFonts w:eastAsia="仿宋_GB2312"/>
              </w:rPr>
            </w:pPr>
            <w:r>
              <w:rPr>
                <w:rFonts w:hint="eastAsia" w:ascii="宋体" w:hAnsi="宋体"/>
                <w:szCs w:val="21"/>
              </w:rPr>
              <w:t>（15分）</w:t>
            </w:r>
          </w:p>
        </w:tc>
        <w:tc>
          <w:tcPr>
            <w:tcW w:w="8793" w:type="dxa"/>
            <w:shd w:val="clear" w:color="auto" w:fill="auto"/>
            <w:vAlign w:val="center"/>
          </w:tcPr>
          <w:p>
            <w:pPr>
              <w:widowControl w:val="0"/>
              <w:numPr>
                <w:ilvl w:val="0"/>
                <w:numId w:val="1"/>
              </w:numPr>
              <w:spacing w:line="240" w:lineRule="auto"/>
              <w:jc w:val="both"/>
              <w:rPr>
                <w:rFonts w:ascii="宋体" w:hAnsi="宋体"/>
                <w:szCs w:val="21"/>
              </w:rPr>
            </w:pPr>
            <w:r>
              <w:rPr>
                <w:rFonts w:hint="eastAsia" w:ascii="宋体" w:hAnsi="宋体"/>
                <w:szCs w:val="21"/>
              </w:rPr>
              <w:t>本项目的项目负责人：具有媒体类或宣传类等相关的中级或以上职称：副高级或以上得5分，中级得3分，最高得5分。</w:t>
            </w:r>
          </w:p>
          <w:p>
            <w:pPr>
              <w:widowControl w:val="0"/>
              <w:numPr>
                <w:ilvl w:val="0"/>
                <w:numId w:val="1"/>
              </w:numPr>
              <w:spacing w:line="240" w:lineRule="auto"/>
              <w:jc w:val="both"/>
              <w:rPr>
                <w:rFonts w:ascii="宋体" w:hAnsi="宋体"/>
                <w:szCs w:val="21"/>
              </w:rPr>
            </w:pPr>
            <w:r>
              <w:rPr>
                <w:rFonts w:hint="eastAsia" w:ascii="宋体" w:hAnsi="宋体"/>
                <w:szCs w:val="21"/>
              </w:rPr>
              <w:t>项目团队成员具有媒体类或宣传类等相关的中级或以上职称的，每提供一人得2分，最高得10分。</w:t>
            </w:r>
          </w:p>
          <w:p>
            <w:pPr>
              <w:widowControl w:val="0"/>
              <w:spacing w:line="240" w:lineRule="auto"/>
              <w:jc w:val="both"/>
              <w:rPr>
                <w:rFonts w:ascii="宋体" w:hAnsi="宋体"/>
                <w:szCs w:val="21"/>
              </w:rPr>
            </w:pPr>
            <w:r>
              <w:rPr>
                <w:rFonts w:hint="eastAsia" w:ascii="宋体" w:hAnsi="宋体"/>
                <w:szCs w:val="21"/>
              </w:rPr>
              <w:t>注：同一人获得多个职称的按最高职称计算，须同时提供以上职称证明材料及以上人员在供应商单位任职的外部证明材料（如近6个月及以上（不含本项目提交响应文件截止时间的所在月）在供应商单位的社保缴费记录；如该人员依法免税或不需要缴纳社会保障资金的，须提供相应证明材料；若供应商成立不足6个月的，须提供相应证明材料（包括但不限于供应商营业执照、该人员自入职期在供应商单位的社保缴费记录））。无提供或提供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80" w:type="dxa"/>
            <w:shd w:val="clear" w:color="auto" w:fill="auto"/>
            <w:vAlign w:val="center"/>
          </w:tcPr>
          <w:p>
            <w:pPr>
              <w:widowControl w:val="0"/>
              <w:spacing w:line="240" w:lineRule="auto"/>
              <w:jc w:val="center"/>
              <w:rPr>
                <w:rFonts w:ascii="宋体" w:hAnsi="宋体"/>
                <w:szCs w:val="21"/>
              </w:rPr>
            </w:pPr>
            <w:r>
              <w:rPr>
                <w:rFonts w:hint="eastAsia" w:ascii="宋体" w:hAnsi="宋体"/>
                <w:szCs w:val="21"/>
              </w:rPr>
              <w:t>价格部</w:t>
            </w:r>
            <w:r>
              <w:rPr>
                <w:rFonts w:ascii="宋体" w:hAnsi="宋体"/>
                <w:szCs w:val="21"/>
              </w:rPr>
              <w:t>分</w:t>
            </w:r>
          </w:p>
          <w:p>
            <w:pPr>
              <w:widowControl w:val="0"/>
              <w:spacing w:line="240" w:lineRule="auto"/>
              <w:jc w:val="center"/>
              <w:rPr>
                <w:szCs w:val="21"/>
              </w:rPr>
            </w:pPr>
            <w:r>
              <w:rPr>
                <w:rFonts w:hint="eastAsia" w:ascii="宋体" w:hAnsi="宋体"/>
                <w:szCs w:val="21"/>
              </w:rPr>
              <w:t>（10分）</w:t>
            </w:r>
          </w:p>
        </w:tc>
        <w:tc>
          <w:tcPr>
            <w:tcW w:w="2977" w:type="dxa"/>
            <w:shd w:val="clear" w:color="auto" w:fill="auto"/>
            <w:vAlign w:val="center"/>
          </w:tcPr>
          <w:p>
            <w:pPr>
              <w:widowControl w:val="0"/>
              <w:spacing w:line="240" w:lineRule="auto"/>
              <w:jc w:val="center"/>
              <w:rPr>
                <w:rFonts w:ascii="宋体" w:hAnsi="宋体"/>
                <w:szCs w:val="21"/>
              </w:rPr>
            </w:pPr>
            <w:r>
              <w:rPr>
                <w:rFonts w:hint="eastAsia" w:ascii="宋体" w:hAnsi="宋体"/>
                <w:szCs w:val="21"/>
              </w:rPr>
              <w:t>价格</w:t>
            </w:r>
            <w:r>
              <w:rPr>
                <w:rFonts w:ascii="宋体" w:hAnsi="宋体"/>
                <w:szCs w:val="21"/>
              </w:rPr>
              <w:t>得分</w:t>
            </w:r>
          </w:p>
          <w:p>
            <w:pPr>
              <w:widowControl w:val="0"/>
              <w:spacing w:line="240" w:lineRule="auto"/>
              <w:jc w:val="center"/>
              <w:rPr>
                <w:rFonts w:ascii="宋体" w:hAnsi="宋体"/>
                <w:szCs w:val="21"/>
              </w:rPr>
            </w:pPr>
            <w:r>
              <w:rPr>
                <w:rFonts w:hint="eastAsia" w:ascii="宋体" w:hAnsi="宋体"/>
                <w:szCs w:val="21"/>
              </w:rPr>
              <w:t>（10分）</w:t>
            </w:r>
          </w:p>
        </w:tc>
        <w:tc>
          <w:tcPr>
            <w:tcW w:w="8793" w:type="dxa"/>
            <w:shd w:val="clear" w:color="auto" w:fill="auto"/>
            <w:vAlign w:val="center"/>
          </w:tcPr>
          <w:p>
            <w:pPr>
              <w:widowControl w:val="0"/>
              <w:spacing w:line="240" w:lineRule="auto"/>
              <w:jc w:val="both"/>
              <w:rPr>
                <w:rFonts w:ascii="宋体" w:hAnsi="宋体"/>
                <w:szCs w:val="21"/>
              </w:rPr>
            </w:pPr>
            <w:r>
              <w:rPr>
                <w:rFonts w:hint="eastAsia" w:ascii="宋体" w:hAnsi="宋体"/>
                <w:szCs w:val="21"/>
              </w:rPr>
              <w:t>价格</w:t>
            </w:r>
            <w:r>
              <w:rPr>
                <w:rFonts w:ascii="宋体" w:hAnsi="宋体"/>
                <w:szCs w:val="21"/>
              </w:rPr>
              <w:t>得分=</w:t>
            </w:r>
            <w:r>
              <w:rPr>
                <w:rFonts w:hint="eastAsia" w:ascii="宋体" w:hAnsi="宋体"/>
                <w:szCs w:val="21"/>
              </w:rPr>
              <w:t>（基准价/报价）*价格评分权重。</w:t>
            </w:r>
          </w:p>
          <w:p>
            <w:pPr>
              <w:widowControl w:val="0"/>
              <w:spacing w:after="120" w:line="240" w:lineRule="auto"/>
              <w:jc w:val="both"/>
              <w:rPr>
                <w:rFonts w:ascii="宋体" w:hAnsi="宋体"/>
                <w:szCs w:val="21"/>
              </w:rPr>
            </w:pPr>
            <w:r>
              <w:rPr>
                <w:rFonts w:hint="eastAsia" w:ascii="宋体" w:hAnsi="宋体"/>
                <w:szCs w:val="21"/>
              </w:rPr>
              <w:t>说明：取最低报价为基准价。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980" w:type="dxa"/>
            <w:shd w:val="clear" w:color="auto" w:fill="auto"/>
            <w:vAlign w:val="center"/>
          </w:tcPr>
          <w:p>
            <w:pPr>
              <w:spacing w:line="240" w:lineRule="auto"/>
              <w:jc w:val="center"/>
              <w:rPr>
                <w:rFonts w:ascii="宋体" w:hAnsi="宋体" w:cs="Microsoft JhengHei"/>
                <w:szCs w:val="21"/>
              </w:rPr>
            </w:pPr>
            <w:r>
              <w:rPr>
                <w:rFonts w:hint="eastAsia" w:ascii="宋体" w:hAnsi="宋体" w:cs="Microsoft JhengHei"/>
                <w:szCs w:val="21"/>
              </w:rPr>
              <w:t>总分</w:t>
            </w:r>
          </w:p>
        </w:tc>
        <w:tc>
          <w:tcPr>
            <w:tcW w:w="2977" w:type="dxa"/>
            <w:shd w:val="clear" w:color="auto" w:fill="auto"/>
            <w:vAlign w:val="center"/>
          </w:tcPr>
          <w:p>
            <w:pPr>
              <w:widowControl w:val="0"/>
              <w:spacing w:line="240" w:lineRule="auto"/>
              <w:jc w:val="center"/>
              <w:rPr>
                <w:rFonts w:ascii="宋体" w:hAnsi="宋体"/>
                <w:szCs w:val="21"/>
              </w:rPr>
            </w:pPr>
            <w:r>
              <w:rPr>
                <w:rFonts w:hint="eastAsia" w:ascii="宋体" w:hAnsi="宋体"/>
                <w:szCs w:val="21"/>
              </w:rPr>
              <w:t>100分</w:t>
            </w:r>
          </w:p>
        </w:tc>
        <w:tc>
          <w:tcPr>
            <w:tcW w:w="8793" w:type="dxa"/>
            <w:shd w:val="clear" w:color="auto" w:fill="auto"/>
            <w:vAlign w:val="center"/>
          </w:tcPr>
          <w:p>
            <w:pPr>
              <w:widowControl w:val="0"/>
              <w:spacing w:line="240" w:lineRule="auto"/>
              <w:jc w:val="both"/>
              <w:rPr>
                <w:rFonts w:ascii="宋体" w:hAnsi="宋体"/>
                <w:szCs w:val="21"/>
              </w:rPr>
            </w:pPr>
          </w:p>
        </w:tc>
      </w:tr>
    </w:tbl>
    <w:p>
      <w:pPr>
        <w:pStyle w:val="2"/>
        <w:ind w:left="0" w:firstLine="0" w:firstLineChars="0"/>
        <w:rPr>
          <w:szCs w:val="32"/>
        </w:rPr>
      </w:pPr>
    </w:p>
    <w:p/>
    <w:sectPr>
      <w:pgSz w:w="16838" w:h="11906" w:orient="landscape"/>
      <w:pgMar w:top="1803" w:right="1440" w:bottom="1803" w:left="1440" w:header="851" w:footer="992" w:gutter="0"/>
      <w:cols w:space="0" w:num="1"/>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Microsoft JhengHei">
    <w:altName w:val="方正书宋_GBK"/>
    <w:panose1 w:val="020B0604030504040204"/>
    <w:charset w:val="88"/>
    <w:family w:val="swiss"/>
    <w:pitch w:val="default"/>
    <w:sig w:usb0="00000000" w:usb1="00000000" w:usb2="00000016" w:usb3="00000000" w:csb0="00100009" w:csb1="00000000"/>
  </w:font>
  <w:font w:name="Helvetica">
    <w:altName w:val="Liberation Sans"/>
    <w:panose1 w:val="020B0604020202020204"/>
    <w:charset w:val="00"/>
    <w:family w:val="swiss"/>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BB5947"/>
    <w:multiLevelType w:val="singleLevel"/>
    <w:tmpl w:val="BBBB594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4ZmUxN2MzNTZhMTE2ZWNiMTNmZTZkZjk4ZDY1ODkifQ=="/>
  </w:docVars>
  <w:rsids>
    <w:rsidRoot w:val="52274061"/>
    <w:rsid w:val="00005D24"/>
    <w:rsid w:val="000242B9"/>
    <w:rsid w:val="0003591E"/>
    <w:rsid w:val="0005686F"/>
    <w:rsid w:val="000A2FD7"/>
    <w:rsid w:val="00101119"/>
    <w:rsid w:val="00110D52"/>
    <w:rsid w:val="00116321"/>
    <w:rsid w:val="001F5A48"/>
    <w:rsid w:val="00200881"/>
    <w:rsid w:val="00210A9F"/>
    <w:rsid w:val="00257C3A"/>
    <w:rsid w:val="002E7805"/>
    <w:rsid w:val="002F6580"/>
    <w:rsid w:val="003236D2"/>
    <w:rsid w:val="003455E0"/>
    <w:rsid w:val="0041100B"/>
    <w:rsid w:val="00466429"/>
    <w:rsid w:val="00473210"/>
    <w:rsid w:val="004866A5"/>
    <w:rsid w:val="004A7B42"/>
    <w:rsid w:val="004B4889"/>
    <w:rsid w:val="00535336"/>
    <w:rsid w:val="00541707"/>
    <w:rsid w:val="00555AC1"/>
    <w:rsid w:val="005610D2"/>
    <w:rsid w:val="00574532"/>
    <w:rsid w:val="005770F5"/>
    <w:rsid w:val="006A7D10"/>
    <w:rsid w:val="006B5156"/>
    <w:rsid w:val="006F0B94"/>
    <w:rsid w:val="007855E0"/>
    <w:rsid w:val="007C5A1F"/>
    <w:rsid w:val="007D4A59"/>
    <w:rsid w:val="009277FA"/>
    <w:rsid w:val="009364DA"/>
    <w:rsid w:val="00944C1B"/>
    <w:rsid w:val="00956819"/>
    <w:rsid w:val="009B24C4"/>
    <w:rsid w:val="00A225BB"/>
    <w:rsid w:val="00A815FA"/>
    <w:rsid w:val="00A87DA2"/>
    <w:rsid w:val="00AB5AA8"/>
    <w:rsid w:val="00AE272C"/>
    <w:rsid w:val="00B72689"/>
    <w:rsid w:val="00B86168"/>
    <w:rsid w:val="00C54E5D"/>
    <w:rsid w:val="00CF0907"/>
    <w:rsid w:val="00D16B94"/>
    <w:rsid w:val="00D22CC9"/>
    <w:rsid w:val="00D42710"/>
    <w:rsid w:val="00DA350C"/>
    <w:rsid w:val="00DD7B65"/>
    <w:rsid w:val="00E447D5"/>
    <w:rsid w:val="00E64FF7"/>
    <w:rsid w:val="00E825AC"/>
    <w:rsid w:val="00EA2D82"/>
    <w:rsid w:val="00EB6B1F"/>
    <w:rsid w:val="00F10FEA"/>
    <w:rsid w:val="00FC652C"/>
    <w:rsid w:val="00FF30A1"/>
    <w:rsid w:val="0A5E44AC"/>
    <w:rsid w:val="0A7B50A1"/>
    <w:rsid w:val="0C110909"/>
    <w:rsid w:val="13791F89"/>
    <w:rsid w:val="165C6FF9"/>
    <w:rsid w:val="1A6631B9"/>
    <w:rsid w:val="1B811013"/>
    <w:rsid w:val="1C17734C"/>
    <w:rsid w:val="20A84A2C"/>
    <w:rsid w:val="21992DFB"/>
    <w:rsid w:val="237B3365"/>
    <w:rsid w:val="32D6639B"/>
    <w:rsid w:val="3ABA760D"/>
    <w:rsid w:val="3C346316"/>
    <w:rsid w:val="494519AE"/>
    <w:rsid w:val="503840C7"/>
    <w:rsid w:val="52274061"/>
    <w:rsid w:val="56C90325"/>
    <w:rsid w:val="5DEA3048"/>
    <w:rsid w:val="5F8849A5"/>
    <w:rsid w:val="620A6539"/>
    <w:rsid w:val="69C47BE4"/>
    <w:rsid w:val="69CE1F0C"/>
    <w:rsid w:val="6F0B1487"/>
    <w:rsid w:val="75521F0A"/>
    <w:rsid w:val="7D074145"/>
    <w:rsid w:val="7DBA1C2F"/>
    <w:rsid w:val="7EFB2786"/>
    <w:rsid w:val="D7D9CD09"/>
    <w:rsid w:val="EFCEBF36"/>
    <w:rsid w:val="FBCCE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left="200" w:firstLine="200"/>
    </w:pPr>
  </w:style>
  <w:style w:type="paragraph" w:styleId="3">
    <w:name w:val="Body Text Indent"/>
    <w:basedOn w:val="1"/>
    <w:qFormat/>
    <w:uiPriority w:val="0"/>
    <w:pPr>
      <w:ind w:firstLine="830" w:firstLineChars="352"/>
    </w:pPr>
    <w:rPr>
      <w:rFonts w:ascii="仿宋_GB2312" w:eastAsia="仿宋_GB2312"/>
      <w:kern w:val="0"/>
      <w:sz w:val="32"/>
    </w:rPr>
  </w:style>
  <w:style w:type="paragraph" w:styleId="4">
    <w:name w:val="Balloon Text"/>
    <w:basedOn w:val="1"/>
    <w:link w:val="13"/>
    <w:qFormat/>
    <w:uiPriority w:val="0"/>
    <w:pPr>
      <w:spacing w:line="240" w:lineRule="auto"/>
    </w:pPr>
    <w:rPr>
      <w:sz w:val="18"/>
      <w:szCs w:val="18"/>
    </w:rPr>
  </w:style>
  <w:style w:type="paragraph" w:styleId="5">
    <w:name w:val="footer"/>
    <w:basedOn w:val="1"/>
    <w:link w:val="10"/>
    <w:qFormat/>
    <w:uiPriority w:val="0"/>
    <w:pPr>
      <w:tabs>
        <w:tab w:val="center" w:pos="4153"/>
        <w:tab w:val="right" w:pos="8306"/>
      </w:tabs>
      <w:snapToGrid w:val="0"/>
      <w:spacing w:line="240" w:lineRule="atLeas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9">
    <w:name w:val="页眉 Char"/>
    <w:basedOn w:val="8"/>
    <w:link w:val="6"/>
    <w:qFormat/>
    <w:uiPriority w:val="0"/>
    <w:rPr>
      <w:rFonts w:ascii="Times New Roman" w:hAnsi="Times New Roman" w:eastAsia="宋体" w:cs="Times New Roman"/>
      <w:kern w:val="2"/>
      <w:sz w:val="18"/>
      <w:szCs w:val="18"/>
    </w:rPr>
  </w:style>
  <w:style w:type="character" w:customStyle="1" w:styleId="10">
    <w:name w:val="页脚 Char"/>
    <w:basedOn w:val="8"/>
    <w:link w:val="5"/>
    <w:qFormat/>
    <w:uiPriority w:val="0"/>
    <w:rPr>
      <w:rFonts w:ascii="Times New Roman" w:hAnsi="Times New Roman" w:eastAsia="宋体" w:cs="Times New Roman"/>
      <w:kern w:val="2"/>
      <w:sz w:val="18"/>
      <w:szCs w:val="18"/>
    </w:rPr>
  </w:style>
  <w:style w:type="paragraph" w:styleId="11">
    <w:name w:val="List Paragraph"/>
    <w:basedOn w:val="1"/>
    <w:unhideWhenUsed/>
    <w:qFormat/>
    <w:uiPriority w:val="99"/>
    <w:pPr>
      <w:ind w:firstLine="420" w:firstLineChars="200"/>
    </w:pPr>
  </w:style>
  <w:style w:type="paragraph" w:customStyle="1" w:styleId="12">
    <w:name w:val="Table Paragraph"/>
    <w:basedOn w:val="1"/>
    <w:qFormat/>
    <w:uiPriority w:val="1"/>
  </w:style>
  <w:style w:type="character" w:customStyle="1" w:styleId="13">
    <w:name w:val="批注框文本 Char"/>
    <w:basedOn w:val="8"/>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266</Words>
  <Characters>1519</Characters>
  <Lines>12</Lines>
  <Paragraphs>3</Paragraphs>
  <TotalTime>1</TotalTime>
  <ScaleCrop>false</ScaleCrop>
  <LinksUpToDate>false</LinksUpToDate>
  <CharactersWithSpaces>1782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2022-07-28T08:47:00Z</dcterms:created>
  <dc:creator>liuch</dc:creator>
  <cp:lastModifiedBy>greatwall</cp:lastModifiedBy>
  <cp:lastPrinted>2022-09-17T00:37:00Z</cp:lastPrinted>
  <dcterms:modified xsi:type="dcterms:W3CDTF">2022-11-01T09:33:12Z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0443130DF8044EFF98711D7D08BF5316</vt:lpwstr>
  </property>
</Properties>
</file>