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 w:val="0"/>
        <w:spacing w:after="120" w:line="360" w:lineRule="auto"/>
        <w:ind w:left="420" w:leftChars="200"/>
        <w:jc w:val="center"/>
        <w:rPr>
          <w:rFonts w:ascii="宋体" w:hAnsi="宋体" w:cs="Microsoft JhengHei"/>
          <w:b/>
          <w:position w:val="-1"/>
          <w:sz w:val="36"/>
          <w:szCs w:val="36"/>
        </w:rPr>
      </w:pPr>
      <w:r>
        <w:rPr>
          <w:rFonts w:hint="eastAsia" w:ascii="宋体" w:hAnsi="宋体" w:cs="Microsoft JhengHei"/>
          <w:b/>
          <w:position w:val="-1"/>
          <w:sz w:val="36"/>
          <w:szCs w:val="36"/>
        </w:rPr>
        <w:t>报价方案评审标准</w:t>
      </w:r>
    </w:p>
    <w:tbl>
      <w:tblPr>
        <w:tblStyle w:val="7"/>
        <w:tblW w:w="137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2693"/>
        <w:gridCol w:w="9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评审因素</w:t>
            </w:r>
          </w:p>
        </w:tc>
        <w:tc>
          <w:tcPr>
            <w:tcW w:w="1243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243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资质审查</w:t>
            </w:r>
          </w:p>
        </w:tc>
        <w:tc>
          <w:tcPr>
            <w:tcW w:w="12436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对照购买服务公告第四点内容进行资料审查，如资料不齐全，则不予通过，不得参加后续评分。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技术部分</w:t>
            </w:r>
          </w:p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</w:t>
            </w:r>
            <w:r>
              <w:rPr>
                <w:rFonts w:ascii="宋体" w:hAnsi="宋体" w:cs="Microsoft JhengHei"/>
                <w:szCs w:val="21"/>
              </w:rPr>
              <w:t>35</w:t>
            </w:r>
            <w:r>
              <w:rPr>
                <w:rFonts w:hint="eastAsia" w:ascii="宋体" w:hAnsi="宋体" w:cs="Microsoft JhengHei"/>
                <w:szCs w:val="21"/>
              </w:rPr>
              <w:t>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对项目的理解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对项目理解全面、准确，认识深刻，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完全满足且优于用户需求得15分；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对项目理解较透彻，认识较深刻，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满足用户需求得12分；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对项目理解一般，认识一般，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基本满足用户需求得9分；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对项目理解较差，认识较差，不太满足用户需求得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完全没有相关内容的，本评分项得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重点、难点问题及措施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对本项目重点、难点问题理解分析全面、准确，应对措施合理可行，完全满足且优于用户需求得10分；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对本项目重点、难点问题理解分析较全面、较准确，应对措施较合理可行，满足用户需求得8分；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对本项目重点、难点问题理解分析一般，应对措施一般，基本满足用户需求得6分；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完全没有相关内容的，本评分项得0分。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12"/>
              <w:spacing w:before="1" w:line="240" w:lineRule="atLeast"/>
              <w:ind w:left="102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进度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控制方案</w:t>
            </w:r>
          </w:p>
          <w:p>
            <w:pPr>
              <w:pStyle w:val="12"/>
              <w:spacing w:before="1" w:line="240" w:lineRule="atLeast"/>
              <w:ind w:left="102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根据“项目服务需求”提供响应方案，应包括对被项目的进度控制方法和措施，以及处理进度延迟的能力和策略：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方案详细，科学、合理，得5分；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方案较详细，合理性一般,得3分；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方案不够详细，合理性较差,得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未提供或内容偏离项目实际需求，得0分。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质量控制方案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根据“项目服务需求”提供响应方案，应包括对项目提供质量控制措施：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方案详细，科学、合理，得5分；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方案较详细，合理性一般,得3分；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方案不够详细，合理性较差,得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 w:val="0"/>
              <w:spacing w:line="24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未提供或内容偏离项目实际需求，得0分。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商务部分</w:t>
            </w:r>
          </w:p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</w:t>
            </w:r>
            <w:r>
              <w:rPr>
                <w:rFonts w:ascii="宋体" w:hAnsi="宋体" w:cs="Microsoft JhengHei"/>
                <w:szCs w:val="21"/>
              </w:rPr>
              <w:t>45</w:t>
            </w:r>
            <w:r>
              <w:rPr>
                <w:rFonts w:hint="eastAsia" w:ascii="宋体" w:hAnsi="宋体" w:cs="Microsoft JhengHei"/>
                <w:szCs w:val="21"/>
              </w:rPr>
              <w:t>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供应商管理体系认证（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具有ISO9001质量管理体系认证证书，得1分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具有</w:t>
            </w:r>
            <w:r>
              <w:rPr>
                <w:rFonts w:hint="eastAsia" w:ascii="宋体" w:hAnsi="宋体"/>
                <w:szCs w:val="21"/>
              </w:rPr>
              <w:t>工程咨询单位资信</w:t>
            </w:r>
            <w:r>
              <w:rPr>
                <w:rFonts w:ascii="宋体" w:hAnsi="宋体"/>
                <w:szCs w:val="21"/>
              </w:rPr>
              <w:t>证书，</w:t>
            </w:r>
            <w:r>
              <w:rPr>
                <w:rFonts w:hint="eastAsia" w:ascii="宋体" w:hAnsi="宋体"/>
                <w:szCs w:val="21"/>
              </w:rPr>
              <w:t>乙级得1分，甲级</w:t>
            </w:r>
            <w:r>
              <w:rPr>
                <w:rFonts w:ascii="宋体" w:hAnsi="宋体"/>
                <w:szCs w:val="21"/>
              </w:rPr>
              <w:t>得2分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本项累计最高得3分。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注：需</w:t>
            </w:r>
            <w:r>
              <w:rPr>
                <w:rFonts w:ascii="宋体" w:hAnsi="宋体"/>
                <w:szCs w:val="21"/>
              </w:rPr>
              <w:t>提供证书复印件，且证书在有效期内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类似项目业绩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.根据供应商</w:t>
            </w:r>
            <w:r>
              <w:rPr>
                <w:rFonts w:ascii="宋体" w:hAnsi="宋体"/>
                <w:szCs w:val="21"/>
              </w:rPr>
              <w:t>2021</w:t>
            </w:r>
            <w:r>
              <w:rPr>
                <w:rFonts w:hint="eastAsia" w:ascii="宋体" w:hAnsi="宋体"/>
                <w:szCs w:val="21"/>
              </w:rPr>
              <w:t>年至今承担的客运类研究项目进行评分。承担省级客运类研究项目的，每项得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分。承担市级客运类项目的，每项得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分，承担县（区、县级市）级客运类项目的，每项得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分，本项最高得1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分。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须提供合同（至少包括合同首页、签字盖章页）扫描件作为证明材料。</w:t>
            </w:r>
          </w:p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客运类项目包括道路客运、常规公交、轨道交通、出租车等。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拟投入本项目的项目负责人情况（</w:t>
            </w: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项目负责人具有交通运输或经济管理类专业职称，其中具有中级职称的得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分，具有高级职称（含副高）的得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项目负责人具有交通运输或经济管理类专业学历，其中具有本科学历的得</w:t>
            </w:r>
            <w:r>
              <w:t>2</w:t>
            </w:r>
            <w:r>
              <w:rPr>
                <w:rFonts w:hint="eastAsia"/>
              </w:rPr>
              <w:t>分，具有硕士研究生学历的得3分，具有博士研究生学历的得4分。</w:t>
            </w:r>
          </w:p>
          <w:p>
            <w:pPr>
              <w:widowControl w:val="0"/>
              <w:spacing w:line="240" w:lineRule="auto"/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项目负责人具有客运类项目研究经验的，每项得2分，最高得8分。</w:t>
            </w:r>
          </w:p>
          <w:p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注：</w:t>
            </w:r>
          </w:p>
          <w:p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需提供项目负责人职称、学历学位证书、项目经验证明等扫描件，否则不得分。</w:t>
            </w:r>
          </w:p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客运类项目包括道路客运、常规公交、轨道交通、出租车等。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拟投入本项目的主要技术人员情况（项目负责人除外）（</w:t>
            </w: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主要技术人员具有交通运输或经济管理类专业学历，</w:t>
            </w:r>
            <w:r>
              <w:rPr>
                <w:rFonts w:hint="eastAsia"/>
              </w:rPr>
              <w:t>其中具有本科学历的每人得</w:t>
            </w:r>
            <w:r>
              <w:t>2</w:t>
            </w:r>
            <w:r>
              <w:rPr>
                <w:rFonts w:hint="eastAsia"/>
              </w:rPr>
              <w:t>分，具有硕士研究生学历的每人得3分，具有博士研究生学历的每人得4分，最高得</w:t>
            </w:r>
            <w:r>
              <w:t>9</w:t>
            </w:r>
            <w:r>
              <w:rPr>
                <w:rFonts w:hint="eastAsia"/>
              </w:rPr>
              <w:t>分。</w:t>
            </w:r>
          </w:p>
          <w:p>
            <w:pPr>
              <w:widowControl w:val="0"/>
              <w:spacing w:line="240" w:lineRule="auto"/>
            </w:pPr>
            <w:r>
              <w:t>2.</w:t>
            </w:r>
            <w:r>
              <w:rPr>
                <w:rFonts w:hint="eastAsia"/>
              </w:rPr>
              <w:t>主要技术人员具有客运类项目研究经验的，每人每项得2分，最高得</w:t>
            </w:r>
            <w:r>
              <w:t>6</w:t>
            </w:r>
            <w:r>
              <w:rPr>
                <w:rFonts w:hint="eastAsia"/>
              </w:rPr>
              <w:t>分。</w:t>
            </w:r>
          </w:p>
          <w:p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注：</w:t>
            </w:r>
          </w:p>
          <w:p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需提供项目负责人学历学位证书、项目经验证明扫描件及2023年至今任意1个月在供应商缴纳社保证明文件（或缴纳个人所得税）复印件，否则不得分。</w:t>
            </w:r>
          </w:p>
          <w:p>
            <w:pPr>
              <w:widowControl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2.客运类项目包括道路客运、常规公交、轨道交通、出租车等。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价格部</w:t>
            </w:r>
            <w:r>
              <w:rPr>
                <w:rFonts w:ascii="宋体" w:hAnsi="宋体"/>
                <w:szCs w:val="21"/>
              </w:rPr>
              <w:t>分</w:t>
            </w:r>
          </w:p>
          <w:p>
            <w:pPr>
              <w:widowControl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价格</w:t>
            </w:r>
            <w:r>
              <w:rPr>
                <w:rFonts w:ascii="宋体" w:hAnsi="宋体"/>
                <w:szCs w:val="21"/>
              </w:rPr>
              <w:t>得分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价格</w:t>
            </w:r>
            <w:r>
              <w:rPr>
                <w:rFonts w:ascii="宋体" w:hAnsi="宋体"/>
                <w:szCs w:val="21"/>
              </w:rPr>
              <w:t>得分=</w:t>
            </w:r>
            <w:r>
              <w:rPr>
                <w:rFonts w:hint="eastAsia" w:ascii="宋体" w:hAnsi="宋体"/>
                <w:szCs w:val="21"/>
              </w:rPr>
              <w:t>（基准价/报价）*价格评分权重。</w:t>
            </w:r>
          </w:p>
          <w:p>
            <w:pPr>
              <w:widowControl w:val="0"/>
              <w:spacing w:after="12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说明：取最低报价为基准价。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14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总分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100分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</w:p>
        </w:tc>
      </w:tr>
    </w:tbl>
    <w:p/>
    <w:sectPr>
      <w:pgSz w:w="16838" w:h="11906" w:orient="landscape"/>
      <w:pgMar w:top="1587" w:right="1440" w:bottom="158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ZDNjYWE3Mjg1YmZkMzA2YWEzNDhiYWRhNzIwYmUifQ=="/>
  </w:docVars>
  <w:rsids>
    <w:rsidRoot w:val="52274061"/>
    <w:rsid w:val="00005D24"/>
    <w:rsid w:val="000242B9"/>
    <w:rsid w:val="0005686F"/>
    <w:rsid w:val="000A2FD7"/>
    <w:rsid w:val="00101119"/>
    <w:rsid w:val="00110D52"/>
    <w:rsid w:val="00116321"/>
    <w:rsid w:val="001E52A8"/>
    <w:rsid w:val="001F5A48"/>
    <w:rsid w:val="00200881"/>
    <w:rsid w:val="00210A9F"/>
    <w:rsid w:val="00231BA1"/>
    <w:rsid w:val="00257C3A"/>
    <w:rsid w:val="002E7805"/>
    <w:rsid w:val="003455E0"/>
    <w:rsid w:val="00466429"/>
    <w:rsid w:val="00473210"/>
    <w:rsid w:val="00475964"/>
    <w:rsid w:val="004866A5"/>
    <w:rsid w:val="004A7B42"/>
    <w:rsid w:val="004B4889"/>
    <w:rsid w:val="00535336"/>
    <w:rsid w:val="00541707"/>
    <w:rsid w:val="00574532"/>
    <w:rsid w:val="005770F5"/>
    <w:rsid w:val="006061EF"/>
    <w:rsid w:val="006A7D10"/>
    <w:rsid w:val="006B5156"/>
    <w:rsid w:val="006C4875"/>
    <w:rsid w:val="006F0B94"/>
    <w:rsid w:val="00705BA4"/>
    <w:rsid w:val="00735B18"/>
    <w:rsid w:val="007B4112"/>
    <w:rsid w:val="007C5A1F"/>
    <w:rsid w:val="007D4A59"/>
    <w:rsid w:val="00820FC9"/>
    <w:rsid w:val="008320E8"/>
    <w:rsid w:val="00887BB0"/>
    <w:rsid w:val="008A475F"/>
    <w:rsid w:val="009364DA"/>
    <w:rsid w:val="00944C1B"/>
    <w:rsid w:val="00945F0D"/>
    <w:rsid w:val="009476AD"/>
    <w:rsid w:val="00956769"/>
    <w:rsid w:val="00956819"/>
    <w:rsid w:val="00986CCF"/>
    <w:rsid w:val="0099502A"/>
    <w:rsid w:val="009B24C4"/>
    <w:rsid w:val="00A225BB"/>
    <w:rsid w:val="00A815FA"/>
    <w:rsid w:val="00A87DA2"/>
    <w:rsid w:val="00AE272C"/>
    <w:rsid w:val="00B72689"/>
    <w:rsid w:val="00B86168"/>
    <w:rsid w:val="00BA1AE9"/>
    <w:rsid w:val="00BA4445"/>
    <w:rsid w:val="00BB28C2"/>
    <w:rsid w:val="00C54E5D"/>
    <w:rsid w:val="00C9208B"/>
    <w:rsid w:val="00CF0907"/>
    <w:rsid w:val="00D16B94"/>
    <w:rsid w:val="00D17F2F"/>
    <w:rsid w:val="00D22CC9"/>
    <w:rsid w:val="00D42710"/>
    <w:rsid w:val="00DA350C"/>
    <w:rsid w:val="00DE2EB8"/>
    <w:rsid w:val="00E0645B"/>
    <w:rsid w:val="00E447D5"/>
    <w:rsid w:val="00E825AC"/>
    <w:rsid w:val="00EA2D82"/>
    <w:rsid w:val="00EB6B1F"/>
    <w:rsid w:val="00EE2DA5"/>
    <w:rsid w:val="00F10FEA"/>
    <w:rsid w:val="02946D70"/>
    <w:rsid w:val="05102766"/>
    <w:rsid w:val="13960100"/>
    <w:rsid w:val="188E175E"/>
    <w:rsid w:val="1AD94463"/>
    <w:rsid w:val="219629E7"/>
    <w:rsid w:val="2A345FCF"/>
    <w:rsid w:val="2D7B4196"/>
    <w:rsid w:val="327318E0"/>
    <w:rsid w:val="33225A98"/>
    <w:rsid w:val="3D850525"/>
    <w:rsid w:val="503840C7"/>
    <w:rsid w:val="52274061"/>
    <w:rsid w:val="567D422C"/>
    <w:rsid w:val="745E5245"/>
    <w:rsid w:val="77BF5FFA"/>
    <w:rsid w:val="EFCEB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20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</w:rPr>
  </w:style>
  <w:style w:type="paragraph" w:styleId="4">
    <w:name w:val="Balloon Text"/>
    <w:basedOn w:val="1"/>
    <w:link w:val="13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字符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225</Words>
  <Characters>1289</Characters>
  <Lines>10</Lines>
  <Paragraphs>3</Paragraphs>
  <TotalTime>188</TotalTime>
  <ScaleCrop>false</ScaleCrop>
  <LinksUpToDate>false</LinksUpToDate>
  <CharactersWithSpaces>1511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2022-07-27T16:47:00Z</dcterms:created>
  <dc:creator>liuch</dc:creator>
  <cp:lastModifiedBy>aa</cp:lastModifiedBy>
  <cp:lastPrinted>2022-09-16T08:37:00Z</cp:lastPrinted>
  <dcterms:modified xsi:type="dcterms:W3CDTF">2023-07-31T08:27:01Z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5DA1B47ACEDA404B92F296487A024277</vt:lpwstr>
  </property>
</Properties>
</file>