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120" w:line="360" w:lineRule="auto"/>
        <w:jc w:val="center"/>
        <w:rPr>
          <w:rFonts w:ascii="宋体" w:hAnsi="宋体" w:cs="Microsoft JhengHei"/>
          <w:b/>
          <w:position w:val="-1"/>
          <w:sz w:val="36"/>
          <w:szCs w:val="36"/>
        </w:rPr>
      </w:pPr>
      <w:r>
        <w:rPr>
          <w:rFonts w:hint="eastAsia" w:ascii="宋体" w:hAnsi="宋体" w:cs="Microsoft JhengHei"/>
          <w:b/>
          <w:position w:val="-1"/>
          <w:sz w:val="36"/>
          <w:szCs w:val="36"/>
          <w:lang w:val="en-US" w:eastAsia="zh-CN"/>
        </w:rPr>
        <w:t>报价方案</w:t>
      </w:r>
      <w:bookmarkStart w:id="0" w:name="_GoBack"/>
      <w:bookmarkEnd w:id="0"/>
      <w:r>
        <w:rPr>
          <w:rFonts w:hint="eastAsia" w:ascii="宋体" w:hAnsi="宋体" w:cs="Microsoft JhengHei"/>
          <w:b/>
          <w:position w:val="-1"/>
          <w:sz w:val="36"/>
          <w:szCs w:val="36"/>
          <w:lang w:val="en-US" w:eastAsia="zh-CN"/>
        </w:rPr>
        <w:t>评审标准</w:t>
      </w:r>
    </w:p>
    <w:tbl>
      <w:tblPr>
        <w:tblStyle w:val="6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1572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7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ascii="宋体" w:hAnsi="宋体" w:cs="Microsoft JhengHei"/>
                <w:b/>
                <w:position w:val="-1"/>
                <w:szCs w:val="21"/>
              </w:rPr>
              <w:t>评审因素</w:t>
            </w:r>
          </w:p>
        </w:tc>
        <w:tc>
          <w:tcPr>
            <w:tcW w:w="7242" w:type="dxa"/>
            <w:gridSpan w:val="2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ascii="宋体" w:hAnsi="宋体" w:cs="Microsoft JhengHei"/>
                <w:b/>
                <w:position w:val="-1"/>
                <w:szCs w:val="21"/>
              </w:rPr>
              <w:t>评审标准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37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7242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37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Microsoft JhengHei"/>
                <w:szCs w:val="21"/>
              </w:rPr>
              <w:t>资质审查</w:t>
            </w:r>
          </w:p>
        </w:tc>
        <w:tc>
          <w:tcPr>
            <w:tcW w:w="7242" w:type="dxa"/>
            <w:gridSpan w:val="2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对照购买服务公告第四点内容进行资料审查，如资料不齐全，则不予通过，不得参加后续评分。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137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ascii="宋体" w:hAnsi="宋体" w:cs="Microsoft JhengHei"/>
                <w:szCs w:val="21"/>
              </w:rPr>
              <w:t>技术部分</w:t>
            </w:r>
          </w:p>
          <w:p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Microsoft JhengHei"/>
                <w:szCs w:val="21"/>
              </w:rPr>
              <w:t>（45分）</w:t>
            </w:r>
          </w:p>
        </w:tc>
        <w:tc>
          <w:tcPr>
            <w:tcW w:w="1572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对项目的理解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（10分）</w:t>
            </w:r>
          </w:p>
        </w:tc>
        <w:tc>
          <w:tcPr>
            <w:tcW w:w="5670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对项目理解全面、准确，认识深刻，</w:t>
            </w:r>
            <w:r>
              <w:rPr>
                <w:rFonts w:ascii="宋体" w:hAnsi="宋体" w:cs="宋体"/>
                <w:bCs/>
                <w:szCs w:val="21"/>
              </w:rPr>
              <w:t>完全满足用户需求得</w:t>
            </w:r>
            <w:r>
              <w:rPr>
                <w:rFonts w:hint="eastAsia" w:ascii="宋体" w:hAnsi="宋体" w:cs="宋体"/>
                <w:bCs/>
                <w:szCs w:val="21"/>
              </w:rPr>
              <w:t>10</w:t>
            </w:r>
            <w:r>
              <w:rPr>
                <w:rFonts w:ascii="宋体" w:hAnsi="宋体" w:cs="宋体"/>
                <w:bCs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对项目理解较透彻，认识较深刻，</w:t>
            </w:r>
            <w:r>
              <w:rPr>
                <w:rFonts w:ascii="宋体" w:hAnsi="宋体" w:cs="宋体"/>
                <w:bCs/>
                <w:szCs w:val="21"/>
              </w:rPr>
              <w:t>满足用户需求得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7</w:t>
            </w:r>
            <w:r>
              <w:rPr>
                <w:rFonts w:ascii="宋体" w:hAnsi="宋体" w:cs="宋体"/>
                <w:bCs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对项目理解一般，认识一般，</w:t>
            </w:r>
            <w:r>
              <w:rPr>
                <w:rFonts w:ascii="宋体" w:hAnsi="宋体" w:cs="宋体"/>
                <w:bCs/>
                <w:szCs w:val="21"/>
              </w:rPr>
              <w:t>基本满足用户需求得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4</w:t>
            </w:r>
            <w:r>
              <w:rPr>
                <w:rFonts w:ascii="宋体" w:hAnsi="宋体" w:cs="宋体"/>
                <w:bCs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完全没有相关内容的，本评分项得</w:t>
            </w:r>
            <w:r>
              <w:rPr>
                <w:rFonts w:ascii="宋体" w:hAnsi="宋体" w:cs="宋体"/>
                <w:bCs/>
                <w:szCs w:val="21"/>
              </w:rPr>
              <w:t>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</w:trPr>
        <w:tc>
          <w:tcPr>
            <w:tcW w:w="137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1572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重点、难点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问题及措施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（10分）</w:t>
            </w:r>
          </w:p>
        </w:tc>
        <w:tc>
          <w:tcPr>
            <w:tcW w:w="5670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对本项目关键性技术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或工作</w:t>
            </w:r>
            <w:r>
              <w:rPr>
                <w:rFonts w:hint="eastAsia" w:ascii="宋体" w:hAnsi="宋体"/>
                <w:szCs w:val="21"/>
              </w:rPr>
              <w:t>难题理解分析全面、准确、应对措施合理可行</w:t>
            </w:r>
            <w:r>
              <w:rPr>
                <w:rFonts w:ascii="宋体" w:hAnsi="宋体"/>
                <w:szCs w:val="21"/>
              </w:rPr>
              <w:t>, 完全满足且优于用户需求得</w:t>
            </w:r>
            <w:r>
              <w:rPr>
                <w:rFonts w:hint="eastAsia" w:ascii="宋体" w:hAnsi="宋体"/>
                <w:szCs w:val="21"/>
              </w:rPr>
              <w:t>10</w:t>
            </w:r>
            <w:r>
              <w:rPr>
                <w:rFonts w:ascii="宋体" w:hAnsi="宋体"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对本项目关键性技术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或工作</w:t>
            </w:r>
            <w:r>
              <w:rPr>
                <w:rFonts w:hint="eastAsia" w:ascii="宋体" w:hAnsi="宋体"/>
                <w:szCs w:val="21"/>
              </w:rPr>
              <w:t>难题理解分析较全面、较准确、应对措施较合理可行</w:t>
            </w:r>
            <w:r>
              <w:rPr>
                <w:rFonts w:ascii="宋体" w:hAnsi="宋体"/>
                <w:szCs w:val="21"/>
              </w:rPr>
              <w:t>, 满足用户需求得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  <w:r>
              <w:rPr>
                <w:rFonts w:ascii="宋体" w:hAnsi="宋体"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对本项目关键性技术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或工作</w:t>
            </w:r>
            <w:r>
              <w:rPr>
                <w:rFonts w:hint="eastAsia" w:ascii="宋体" w:hAnsi="宋体"/>
                <w:szCs w:val="21"/>
              </w:rPr>
              <w:t>难题理解分析一般、应对措施一般</w:t>
            </w:r>
            <w:r>
              <w:rPr>
                <w:rFonts w:ascii="宋体" w:hAnsi="宋体"/>
                <w:szCs w:val="21"/>
              </w:rPr>
              <w:t>, 基本满足用户需求得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ascii="宋体" w:hAnsi="宋体"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完全没有相关内容的，本评分项得</w:t>
            </w:r>
            <w:r>
              <w:rPr>
                <w:rFonts w:ascii="宋体" w:hAnsi="宋体"/>
                <w:szCs w:val="21"/>
              </w:rPr>
              <w:t>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137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1572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工作内容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（8分）</w:t>
            </w:r>
          </w:p>
        </w:tc>
        <w:tc>
          <w:tcPr>
            <w:tcW w:w="5670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对项目工作内容进行综合评分：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对主要内容理解全面、系统、到位，完全满足且优于用户需求得8</w:t>
            </w:r>
            <w:r>
              <w:rPr>
                <w:rFonts w:ascii="宋体" w:hAnsi="宋体" w:cs="宋体"/>
                <w:bCs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对主要内容理解较全面、较系统、较到位，满足用户需求得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5</w:t>
            </w:r>
            <w:r>
              <w:rPr>
                <w:rFonts w:ascii="宋体" w:hAnsi="宋体" w:cs="宋体"/>
                <w:bCs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对主要内容理解不够全面、系统、到位，基本满足用户需求得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bCs/>
                <w:szCs w:val="21"/>
              </w:rPr>
              <w:t>分。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完全没有相关内容的，本评分项得</w:t>
            </w:r>
            <w:r>
              <w:rPr>
                <w:rFonts w:ascii="宋体" w:hAnsi="宋体" w:cs="宋体"/>
                <w:bCs/>
                <w:szCs w:val="21"/>
              </w:rPr>
              <w:t>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</w:trPr>
        <w:tc>
          <w:tcPr>
            <w:tcW w:w="137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1572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技术路线、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方法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（8分）</w:t>
            </w:r>
          </w:p>
        </w:tc>
        <w:tc>
          <w:tcPr>
            <w:tcW w:w="5670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合理可实施，方法和技术路线合理、正确，针对性和可操作性强，完全满足且优于用户需求得8</w:t>
            </w:r>
            <w:r>
              <w:rPr>
                <w:rFonts w:ascii="宋体" w:hAnsi="宋体"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较合理，方法和技术路线合理、正确，针对性和可操作性一般，满足用户需求得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ascii="宋体" w:hAnsi="宋体"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不够合理，方法和技术路线一般，基本满足用户需求得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ascii="宋体" w:hAnsi="宋体"/>
                <w:szCs w:val="21"/>
              </w:rPr>
              <w:t>分。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完全没有相关内容的，本评分项得</w:t>
            </w:r>
            <w:r>
              <w:rPr>
                <w:rFonts w:ascii="宋体" w:hAnsi="宋体"/>
                <w:szCs w:val="21"/>
              </w:rPr>
              <w:t>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3" w:hRule="atLeast"/>
        </w:trPr>
        <w:tc>
          <w:tcPr>
            <w:tcW w:w="137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1572" w:type="dxa"/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工作进度计划</w:t>
            </w:r>
          </w:p>
          <w:p>
            <w:pPr>
              <w:widowControl w:val="0"/>
              <w:snapToGrid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安排</w:t>
            </w:r>
          </w:p>
          <w:p>
            <w:pPr>
              <w:widowControl w:val="0"/>
              <w:snapToGrid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（6分）</w:t>
            </w:r>
          </w:p>
        </w:tc>
        <w:tc>
          <w:tcPr>
            <w:tcW w:w="5670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针对本项目的实施进度计划详细、合理，完全满足且优于用户需求得6</w:t>
            </w:r>
            <w:r>
              <w:rPr>
                <w:rFonts w:ascii="宋体" w:hAnsi="宋体" w:cs="宋体"/>
                <w:bCs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针对本项目的实施进度计划较详细、较合理，满足用户需求得4</w:t>
            </w:r>
            <w:r>
              <w:rPr>
                <w:rFonts w:ascii="宋体" w:hAnsi="宋体" w:cs="宋体"/>
                <w:bCs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针对本项目的实施进度计划不够详细、合理，基本满足用户需求得2</w:t>
            </w:r>
            <w:r>
              <w:rPr>
                <w:rFonts w:ascii="宋体" w:hAnsi="宋体" w:cs="宋体"/>
                <w:bCs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完全没有相关内容的，本评分项得</w:t>
            </w:r>
            <w:r>
              <w:rPr>
                <w:rFonts w:ascii="宋体" w:hAnsi="宋体" w:cs="宋体"/>
                <w:bCs/>
                <w:szCs w:val="21"/>
              </w:rPr>
              <w:t>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</w:trPr>
        <w:tc>
          <w:tcPr>
            <w:tcW w:w="137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1572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质量保证措施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（3分）</w:t>
            </w:r>
          </w:p>
        </w:tc>
        <w:tc>
          <w:tcPr>
            <w:tcW w:w="5670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针对本项目的质量保障措施、质量承诺优于招标要求的，得3</w:t>
            </w:r>
            <w:r>
              <w:rPr>
                <w:rFonts w:ascii="宋体" w:hAnsi="宋体"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针对本项目的质量保障措施、质量承诺满足招标要求的，得2</w:t>
            </w:r>
            <w:r>
              <w:rPr>
                <w:rFonts w:ascii="宋体" w:hAnsi="宋体"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针对本项目的质量保障措施、质量承诺不满足招标要求的，得1</w:t>
            </w:r>
            <w:r>
              <w:rPr>
                <w:rFonts w:ascii="宋体" w:hAnsi="宋体"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完全没有相关内容的，本评分项得</w:t>
            </w:r>
            <w:r>
              <w:rPr>
                <w:rFonts w:ascii="宋体" w:hAnsi="宋体"/>
                <w:szCs w:val="21"/>
              </w:rPr>
              <w:t>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37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ascii="宋体" w:hAnsi="宋体" w:cs="Microsoft JhengHei"/>
                <w:szCs w:val="21"/>
              </w:rPr>
              <w:t>商务部分</w:t>
            </w:r>
          </w:p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hint="eastAsia" w:ascii="宋体" w:hAnsi="宋体" w:cs="Microsoft JhengHei"/>
                <w:szCs w:val="21"/>
              </w:rPr>
              <w:t>（45分）</w:t>
            </w:r>
          </w:p>
        </w:tc>
        <w:tc>
          <w:tcPr>
            <w:tcW w:w="1572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类似项目业绩</w:t>
            </w:r>
          </w:p>
          <w:p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5670" w:type="dxa"/>
            <w:vAlign w:val="center"/>
          </w:tcPr>
          <w:p>
            <w:pPr>
              <w:spacing w:line="240" w:lineRule="auto"/>
              <w:jc w:val="both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供应商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  <w:r>
              <w:rPr>
                <w:rFonts w:ascii="宋体" w:hAnsi="宋体"/>
                <w:szCs w:val="21"/>
              </w:rPr>
              <w:t>月1日至</w:t>
            </w:r>
            <w:r>
              <w:rPr>
                <w:rFonts w:hint="eastAsia" w:ascii="宋体" w:hAnsi="宋体"/>
                <w:szCs w:val="21"/>
              </w:rPr>
              <w:t>报价</w:t>
            </w:r>
            <w:r>
              <w:rPr>
                <w:rFonts w:ascii="宋体" w:hAnsi="宋体"/>
                <w:szCs w:val="21"/>
              </w:rPr>
              <w:t>文件递交截止之日止，</w:t>
            </w:r>
            <w:r>
              <w:rPr>
                <w:rFonts w:hint="eastAsia" w:ascii="宋体" w:hAnsi="宋体"/>
                <w:szCs w:val="21"/>
              </w:rPr>
              <w:t>每</w:t>
            </w:r>
            <w:r>
              <w:rPr>
                <w:rFonts w:ascii="宋体" w:hAnsi="宋体"/>
                <w:szCs w:val="21"/>
              </w:rPr>
              <w:t>独立完成</w:t>
            </w:r>
            <w:r>
              <w:rPr>
                <w:rFonts w:hint="eastAsia" w:ascii="宋体" w:hAnsi="宋体"/>
                <w:szCs w:val="21"/>
              </w:rPr>
              <w:t>1个类似项目</w:t>
            </w:r>
            <w:r>
              <w:rPr>
                <w:rFonts w:ascii="宋体" w:hAnsi="宋体"/>
                <w:szCs w:val="21"/>
              </w:rPr>
              <w:t>得5分，累计最高得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15</w:t>
            </w:r>
            <w:r>
              <w:rPr>
                <w:rFonts w:ascii="宋体" w:hAnsi="宋体"/>
                <w:szCs w:val="21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</w:trPr>
        <w:tc>
          <w:tcPr>
            <w:tcW w:w="137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拟投入本项目的项目负责人情况</w:t>
            </w:r>
          </w:p>
          <w:p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5670" w:type="dxa"/>
            <w:vAlign w:val="center"/>
          </w:tcPr>
          <w:p>
            <w:pPr>
              <w:spacing w:line="240" w:lineRule="auto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拟投入本项目的项目负责人具备以下条件的：</w:t>
            </w:r>
          </w:p>
          <w:p>
            <w:pPr>
              <w:spacing w:line="240" w:lineRule="auto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1.具有</w:t>
            </w:r>
            <w:r>
              <w:rPr>
                <w:rFonts w:hint="eastAsia" w:ascii="宋体" w:hAnsi="宋体" w:cs="宋体"/>
                <w:szCs w:val="21"/>
              </w:rPr>
              <w:t>项目</w:t>
            </w:r>
            <w:r>
              <w:rPr>
                <w:rFonts w:ascii="宋体" w:hAnsi="宋体" w:cs="宋体"/>
                <w:szCs w:val="21"/>
              </w:rPr>
              <w:t>相关专业高级工程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经济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）</w:t>
            </w:r>
            <w:r>
              <w:rPr>
                <w:rFonts w:ascii="宋体" w:hAnsi="宋体" w:cs="宋体"/>
                <w:szCs w:val="21"/>
              </w:rPr>
              <w:t>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或同等</w:t>
            </w:r>
            <w:r>
              <w:rPr>
                <w:rFonts w:ascii="宋体" w:hAnsi="宋体" w:cs="宋体"/>
                <w:szCs w:val="21"/>
              </w:rPr>
              <w:t>资格的得1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szCs w:val="21"/>
              </w:rPr>
              <w:t>分；</w:t>
            </w:r>
          </w:p>
          <w:p>
            <w:pPr>
              <w:spacing w:line="240" w:lineRule="auto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2.具有</w:t>
            </w:r>
            <w:r>
              <w:rPr>
                <w:rFonts w:hint="eastAsia" w:ascii="宋体" w:hAnsi="宋体" w:cs="宋体"/>
                <w:szCs w:val="21"/>
              </w:rPr>
              <w:t>中级工程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经济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宋体"/>
                <w:szCs w:val="21"/>
              </w:rPr>
              <w:t>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或同等</w:t>
            </w:r>
            <w:r>
              <w:rPr>
                <w:rFonts w:ascii="宋体" w:hAnsi="宋体" w:cs="宋体"/>
                <w:szCs w:val="21"/>
              </w:rPr>
              <w:t>资格的，得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  <w:r>
              <w:rPr>
                <w:rFonts w:ascii="宋体" w:hAnsi="宋体" w:cs="宋体"/>
                <w:szCs w:val="21"/>
              </w:rPr>
              <w:t>分；</w:t>
            </w:r>
          </w:p>
          <w:p>
            <w:pPr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3.</w:t>
            </w:r>
            <w:r>
              <w:rPr>
                <w:rFonts w:hint="eastAsia" w:ascii="宋体" w:hAnsi="宋体" w:cs="宋体"/>
                <w:szCs w:val="21"/>
              </w:rPr>
              <w:t>其他，得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  <w:r>
              <w:rPr>
                <w:rFonts w:ascii="宋体" w:hAnsi="宋体" w:cs="宋体"/>
                <w:szCs w:val="21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37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拟投入本项目的主要技术人员情况（项目负责人除外）</w:t>
            </w:r>
          </w:p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5670" w:type="dxa"/>
            <w:vAlign w:val="center"/>
          </w:tcPr>
          <w:p>
            <w:pPr>
              <w:spacing w:line="240" w:lineRule="auto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拟投入本项目的主要技术人员具备以下条件的：</w:t>
            </w:r>
          </w:p>
          <w:p>
            <w:pPr>
              <w:spacing w:line="240" w:lineRule="auto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1.具有</w:t>
            </w:r>
            <w:r>
              <w:rPr>
                <w:rFonts w:hint="eastAsia" w:ascii="宋体" w:hAnsi="宋体" w:cs="宋体"/>
                <w:szCs w:val="21"/>
              </w:rPr>
              <w:t>项目</w:t>
            </w:r>
            <w:r>
              <w:rPr>
                <w:rFonts w:ascii="宋体" w:hAnsi="宋体" w:cs="宋体"/>
                <w:szCs w:val="21"/>
              </w:rPr>
              <w:t>相关专业高级工程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经济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）</w:t>
            </w:r>
            <w:r>
              <w:rPr>
                <w:rFonts w:ascii="宋体" w:hAnsi="宋体" w:cs="宋体"/>
                <w:szCs w:val="21"/>
              </w:rPr>
              <w:t>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或同等</w:t>
            </w:r>
            <w:r>
              <w:rPr>
                <w:rFonts w:ascii="宋体" w:hAnsi="宋体" w:cs="宋体"/>
                <w:szCs w:val="21"/>
              </w:rPr>
              <w:t>资格的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，</w:t>
            </w:r>
            <w:r>
              <w:rPr>
                <w:rFonts w:ascii="宋体" w:hAnsi="宋体" w:cs="宋体"/>
                <w:szCs w:val="21"/>
              </w:rPr>
              <w:t>得1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szCs w:val="21"/>
              </w:rPr>
              <w:t>分；</w:t>
            </w:r>
          </w:p>
          <w:p>
            <w:pPr>
              <w:spacing w:line="240" w:lineRule="auto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2.具有</w:t>
            </w:r>
            <w:r>
              <w:rPr>
                <w:rFonts w:hint="eastAsia" w:ascii="宋体" w:hAnsi="宋体" w:cs="宋体"/>
                <w:szCs w:val="21"/>
              </w:rPr>
              <w:t>中级工程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经济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宋体"/>
                <w:szCs w:val="21"/>
              </w:rPr>
              <w:t>师</w:t>
            </w:r>
            <w:r>
              <w:rPr>
                <w:rFonts w:ascii="宋体" w:hAnsi="宋体" w:cs="宋体"/>
                <w:szCs w:val="21"/>
              </w:rPr>
              <w:t>的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或同等资格</w:t>
            </w:r>
            <w:r>
              <w:rPr>
                <w:rFonts w:ascii="宋体" w:hAnsi="宋体" w:cs="宋体"/>
                <w:szCs w:val="21"/>
              </w:rPr>
              <w:t>，得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  <w:r>
              <w:rPr>
                <w:rFonts w:ascii="宋体" w:hAnsi="宋体" w:cs="宋体"/>
                <w:szCs w:val="21"/>
              </w:rPr>
              <w:t>分；</w:t>
            </w:r>
          </w:p>
          <w:p>
            <w:pPr>
              <w:spacing w:line="240" w:lineRule="auto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3.</w:t>
            </w:r>
            <w:r>
              <w:rPr>
                <w:rFonts w:hint="eastAsia" w:ascii="宋体" w:hAnsi="宋体" w:cs="宋体"/>
                <w:szCs w:val="21"/>
              </w:rPr>
              <w:t>具有类似项目从业经历的，得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  <w:r>
              <w:rPr>
                <w:rFonts w:ascii="宋体" w:hAnsi="宋体" w:cs="宋体"/>
                <w:szCs w:val="21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137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</w:t>
            </w:r>
          </w:p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ascii="宋体" w:hAnsi="宋体"/>
                <w:szCs w:val="21"/>
              </w:rPr>
              <w:t>分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5670" w:type="dxa"/>
            <w:vAlign w:val="center"/>
          </w:tcPr>
          <w:p>
            <w:pPr>
              <w:widowControl w:val="0"/>
              <w:spacing w:after="120"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  <w:r>
              <w:rPr>
                <w:rFonts w:ascii="宋体" w:hAnsi="宋体"/>
                <w:szCs w:val="21"/>
              </w:rPr>
              <w:t>月1日至</w:t>
            </w:r>
            <w:r>
              <w:rPr>
                <w:rFonts w:hint="eastAsia" w:ascii="宋体" w:hAnsi="宋体"/>
                <w:szCs w:val="21"/>
              </w:rPr>
              <w:t>报价</w:t>
            </w:r>
            <w:r>
              <w:rPr>
                <w:rFonts w:ascii="宋体" w:hAnsi="宋体"/>
                <w:szCs w:val="21"/>
              </w:rPr>
              <w:t>文件递交截止之日止（以获奖证书时间为准），</w:t>
            </w:r>
            <w:r>
              <w:rPr>
                <w:rFonts w:hint="eastAsia" w:ascii="宋体" w:hAnsi="宋体"/>
                <w:szCs w:val="21"/>
              </w:rPr>
              <w:t>供应商</w:t>
            </w:r>
            <w:r>
              <w:rPr>
                <w:rFonts w:ascii="宋体" w:hAnsi="宋体"/>
                <w:szCs w:val="21"/>
              </w:rPr>
              <w:t>承接的</w:t>
            </w:r>
            <w:r>
              <w:rPr>
                <w:rFonts w:hint="eastAsia" w:ascii="宋体" w:hAnsi="宋体"/>
                <w:szCs w:val="21"/>
              </w:rPr>
              <w:t>类似项目</w:t>
            </w:r>
            <w:r>
              <w:rPr>
                <w:rFonts w:ascii="宋体" w:hAnsi="宋体"/>
                <w:szCs w:val="21"/>
              </w:rPr>
              <w:t>获得政府部门、行业协会（学会）颁发的省部级奖项的，每个得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ascii="宋体" w:hAnsi="宋体"/>
                <w:szCs w:val="21"/>
              </w:rPr>
              <w:t>分；获得国家级奖项的，每个得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ascii="宋体" w:hAnsi="宋体"/>
                <w:szCs w:val="21"/>
              </w:rPr>
              <w:t>分。本项累计最多得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ascii="宋体" w:hAnsi="宋体"/>
                <w:szCs w:val="21"/>
              </w:rPr>
              <w:t>分。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37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hint="eastAsia" w:ascii="宋体" w:hAnsi="宋体" w:cs="Microsoft JhengHei"/>
                <w:szCs w:val="21"/>
              </w:rPr>
              <w:t>价格部分</w:t>
            </w:r>
          </w:p>
        </w:tc>
        <w:tc>
          <w:tcPr>
            <w:tcW w:w="1572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hint="eastAsia" w:ascii="宋体" w:hAnsi="宋体" w:cs="Microsoft JhengHei"/>
                <w:szCs w:val="21"/>
              </w:rPr>
              <w:t>价格</w:t>
            </w:r>
            <w:r>
              <w:rPr>
                <w:rFonts w:ascii="宋体" w:hAnsi="宋体" w:cs="Microsoft JhengHei"/>
                <w:szCs w:val="21"/>
              </w:rPr>
              <w:t>得分</w:t>
            </w:r>
          </w:p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Microsoft JhengHei"/>
                <w:szCs w:val="21"/>
              </w:rPr>
              <w:t>（10分）</w:t>
            </w:r>
          </w:p>
        </w:tc>
        <w:tc>
          <w:tcPr>
            <w:tcW w:w="5670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szCs w:val="21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价格</w:t>
            </w:r>
            <w:r>
              <w:rPr>
                <w:rFonts w:ascii="宋体" w:hAnsi="宋体" w:cs="宋体"/>
                <w:szCs w:val="21"/>
              </w:rPr>
              <w:t>得分=</w:t>
            </w:r>
            <w:r>
              <w:rPr>
                <w:rFonts w:hint="eastAsia" w:ascii="宋体" w:hAnsi="宋体" w:cs="宋体"/>
                <w:szCs w:val="21"/>
              </w:rPr>
              <w:t>（基准价/报价）*价格评分权重。</w:t>
            </w:r>
          </w:p>
          <w:p>
            <w:pPr>
              <w:widowControl w:val="0"/>
              <w:spacing w:after="120" w:line="240" w:lineRule="auto"/>
              <w:ind w:left="420" w:leftChars="200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说明：取最低报价为基准价。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37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hint="eastAsia" w:ascii="宋体" w:hAnsi="宋体" w:cs="Microsoft JhengHei"/>
                <w:szCs w:val="21"/>
              </w:rPr>
              <w:t>总分</w:t>
            </w:r>
          </w:p>
        </w:tc>
        <w:tc>
          <w:tcPr>
            <w:tcW w:w="1572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hint="eastAsia" w:ascii="宋体" w:hAnsi="宋体" w:cs="Microsoft JhengHei"/>
                <w:szCs w:val="21"/>
              </w:rPr>
              <w:t>100分</w:t>
            </w:r>
          </w:p>
        </w:tc>
        <w:tc>
          <w:tcPr>
            <w:tcW w:w="5670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iZDIzMjBhYjY3YjcwYmIxYWI1NjM4YzVmYjEyMDMifQ=="/>
  </w:docVars>
  <w:rsids>
    <w:rsidRoot w:val="00000000"/>
    <w:rsid w:val="192575D8"/>
    <w:rsid w:val="1D306ECF"/>
    <w:rsid w:val="20EC0344"/>
    <w:rsid w:val="267A3311"/>
    <w:rsid w:val="28940C5A"/>
    <w:rsid w:val="5EE2354A"/>
    <w:rsid w:val="611D75AF"/>
    <w:rsid w:val="6EBA23FD"/>
    <w:rsid w:val="7D40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Calibri" w:hAnsi="Calibri" w:eastAsia="黑体" w:cs="Times New Roman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table" w:customStyle="1" w:styleId="6">
    <w:name w:val="网格型1"/>
    <w:basedOn w:val="4"/>
    <w:qFormat/>
    <w:uiPriority w:val="0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2021-08-30T07:25:00Z</dcterms:created>
  <dc:creator>zjl</dc:creator>
  <cp:lastModifiedBy>liuch</cp:lastModifiedBy>
  <dcterms:modified xsi:type="dcterms:W3CDTF">2023-11-29T06:15:29Z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9E7D1444822A4F5584B57ABC502D5B55_13</vt:lpwstr>
  </property>
</Properties>
</file>