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widowControl w:val="0"/>
        <w:spacing w:after="120" w:line="360" w:lineRule="auto"/>
        <w:ind w:left="420" w:leftChars="200"/>
        <w:jc w:val="center"/>
        <w:rPr>
          <w:rFonts w:ascii="宋体" w:hAnsi="宋体" w:cs="Microsoft JhengHei"/>
          <w:b/>
          <w:position w:val="-1"/>
          <w:sz w:val="36"/>
          <w:szCs w:val="36"/>
        </w:rPr>
      </w:pPr>
      <w:r>
        <w:rPr>
          <w:rFonts w:hint="eastAsia" w:ascii="宋体" w:hAnsi="宋体" w:cs="Microsoft JhengHei"/>
          <w:b/>
          <w:position w:val="-1"/>
          <w:sz w:val="36"/>
          <w:szCs w:val="36"/>
        </w:rPr>
        <w:t>报价方案评审标准</w:t>
      </w:r>
    </w:p>
    <w:tbl>
      <w:tblPr>
        <w:tblStyle w:val="7"/>
        <w:tblW w:w="13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2693"/>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314" w:type="dxa"/>
            <w:vMerge w:val="restart"/>
            <w:shd w:val="clear" w:color="auto" w:fill="auto"/>
            <w:vAlign w:val="center"/>
          </w:tcPr>
          <w:p>
            <w:pPr>
              <w:spacing w:line="240" w:lineRule="auto"/>
              <w:jc w:val="center"/>
              <w:rPr>
                <w:rFonts w:ascii="宋体" w:hAnsi="宋体" w:cs="Helvetica"/>
                <w:b/>
                <w:bCs/>
                <w:kern w:val="0"/>
                <w:szCs w:val="21"/>
              </w:rPr>
            </w:pPr>
            <w:r>
              <w:rPr>
                <w:rFonts w:ascii="宋体" w:hAnsi="宋体" w:cs="Microsoft JhengHei"/>
                <w:b/>
                <w:position w:val="-1"/>
                <w:szCs w:val="21"/>
              </w:rPr>
              <w:t>评审因素</w:t>
            </w:r>
          </w:p>
        </w:tc>
        <w:tc>
          <w:tcPr>
            <w:tcW w:w="12616" w:type="dxa"/>
            <w:gridSpan w:val="2"/>
            <w:vMerge w:val="restart"/>
            <w:shd w:val="clear" w:color="auto" w:fill="auto"/>
            <w:vAlign w:val="center"/>
          </w:tcPr>
          <w:p>
            <w:pPr>
              <w:spacing w:line="240" w:lineRule="auto"/>
              <w:jc w:val="center"/>
              <w:rPr>
                <w:rFonts w:ascii="宋体" w:hAnsi="宋体" w:cs="Helvetica"/>
                <w:b/>
                <w:bCs/>
                <w:kern w:val="0"/>
                <w:szCs w:val="21"/>
              </w:rPr>
            </w:pPr>
            <w:r>
              <w:rPr>
                <w:rFonts w:ascii="宋体" w:hAnsi="宋体" w:cs="Microsoft JhengHei"/>
                <w:b/>
                <w:position w:val="-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314" w:type="dxa"/>
            <w:vMerge w:val="continue"/>
            <w:shd w:val="clear" w:color="auto" w:fill="auto"/>
            <w:vAlign w:val="center"/>
          </w:tcPr>
          <w:p>
            <w:pPr>
              <w:spacing w:line="240" w:lineRule="auto"/>
              <w:jc w:val="center"/>
              <w:rPr>
                <w:rFonts w:ascii="宋体" w:hAnsi="宋体" w:cs="Microsoft JhengHei"/>
                <w:szCs w:val="21"/>
              </w:rPr>
            </w:pPr>
          </w:p>
        </w:tc>
        <w:tc>
          <w:tcPr>
            <w:tcW w:w="12616" w:type="dxa"/>
            <w:gridSpan w:val="2"/>
            <w:vMerge w:val="continue"/>
            <w:shd w:val="clear" w:color="auto" w:fill="auto"/>
            <w:vAlign w:val="center"/>
          </w:tcPr>
          <w:p>
            <w:pPr>
              <w:spacing w:line="240" w:lineRule="auto"/>
              <w:jc w:val="center"/>
              <w:rPr>
                <w:rFonts w:ascii="宋体" w:hAnsi="宋体" w:cs="Helvetic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shd w:val="clear" w:color="auto" w:fill="auto"/>
            <w:vAlign w:val="center"/>
          </w:tcPr>
          <w:p>
            <w:pPr>
              <w:spacing w:line="240" w:lineRule="auto"/>
              <w:jc w:val="center"/>
              <w:rPr>
                <w:rFonts w:ascii="宋体" w:hAnsi="宋体" w:cs="Helvetica"/>
                <w:b/>
                <w:bCs/>
                <w:kern w:val="0"/>
                <w:szCs w:val="21"/>
              </w:rPr>
            </w:pPr>
            <w:r>
              <w:rPr>
                <w:rFonts w:hint="eastAsia" w:ascii="宋体" w:hAnsi="宋体" w:cs="Microsoft JhengHei"/>
                <w:szCs w:val="21"/>
              </w:rPr>
              <w:t>资质审查</w:t>
            </w:r>
          </w:p>
        </w:tc>
        <w:tc>
          <w:tcPr>
            <w:tcW w:w="12616" w:type="dxa"/>
            <w:gridSpan w:val="2"/>
            <w:shd w:val="clear" w:color="auto" w:fill="auto"/>
            <w:vAlign w:val="center"/>
          </w:tcPr>
          <w:p>
            <w:pPr>
              <w:widowControl w:val="0"/>
              <w:spacing w:line="240" w:lineRule="auto"/>
              <w:jc w:val="both"/>
              <w:rPr>
                <w:rFonts w:ascii="宋体" w:hAnsi="宋体" w:cs="Helvetica"/>
                <w:b/>
                <w:bCs/>
                <w:kern w:val="0"/>
                <w:szCs w:val="21"/>
              </w:rPr>
            </w:pPr>
            <w:r>
              <w:rPr>
                <w:rFonts w:hint="eastAsia" w:ascii="宋体" w:hAnsi="宋体" w:cs="宋体"/>
                <w:bCs/>
                <w:szCs w:val="21"/>
              </w:rPr>
              <w:t>对照购买服务公告第四点内容进行资料审查，如资料不齐全，则不予通过，不得参加后续评分。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restart"/>
            <w:shd w:val="clear" w:color="auto" w:fill="auto"/>
            <w:vAlign w:val="center"/>
          </w:tcPr>
          <w:p>
            <w:pPr>
              <w:spacing w:line="240" w:lineRule="auto"/>
              <w:jc w:val="center"/>
              <w:rPr>
                <w:rFonts w:ascii="宋体" w:hAnsi="宋体" w:cs="Microsoft JhengHei"/>
                <w:szCs w:val="21"/>
              </w:rPr>
            </w:pPr>
            <w:r>
              <w:rPr>
                <w:rFonts w:ascii="宋体" w:hAnsi="宋体" w:cs="Microsoft JhengHei"/>
                <w:szCs w:val="21"/>
              </w:rPr>
              <w:t>技术部分</w:t>
            </w:r>
          </w:p>
          <w:p>
            <w:pPr>
              <w:spacing w:line="240" w:lineRule="auto"/>
              <w:jc w:val="center"/>
              <w:rPr>
                <w:rFonts w:ascii="宋体" w:hAnsi="宋体" w:cs="Helvetica"/>
                <w:b/>
                <w:bCs/>
                <w:kern w:val="0"/>
                <w:szCs w:val="21"/>
              </w:rPr>
            </w:pPr>
            <w:r>
              <w:rPr>
                <w:rFonts w:hint="eastAsia" w:ascii="宋体" w:hAnsi="宋体" w:cs="Microsoft JhengHei"/>
                <w:szCs w:val="21"/>
              </w:rPr>
              <w:t>（35分）</w:t>
            </w:r>
          </w:p>
        </w:tc>
        <w:tc>
          <w:tcPr>
            <w:tcW w:w="2693" w:type="dxa"/>
            <w:shd w:val="clear" w:color="auto" w:fill="auto"/>
            <w:vAlign w:val="center"/>
          </w:tcPr>
          <w:p>
            <w:pPr>
              <w:widowControl w:val="0"/>
              <w:spacing w:line="24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对项目的理解</w:t>
            </w:r>
          </w:p>
          <w:p>
            <w:pPr>
              <w:widowControl w:val="0"/>
              <w:spacing w:line="240"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（20分）</w:t>
            </w:r>
          </w:p>
        </w:tc>
        <w:tc>
          <w:tcPr>
            <w:tcW w:w="9923" w:type="dxa"/>
            <w:shd w:val="clear" w:color="auto" w:fill="auto"/>
            <w:vAlign w:val="center"/>
          </w:tcPr>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对项目理解全面、准确，认识深刻，</w:t>
            </w:r>
            <w:r>
              <w:rPr>
                <w:rFonts w:ascii="宋体" w:hAnsi="宋体" w:cs="宋体"/>
                <w:bCs/>
                <w:color w:val="000000" w:themeColor="text1"/>
                <w:szCs w:val="21"/>
                <w14:textFill>
                  <w14:solidFill>
                    <w14:schemeClr w14:val="tx1"/>
                  </w14:solidFill>
                </w14:textFill>
              </w:rPr>
              <w:t>完全满足且优于用户需求得</w:t>
            </w:r>
            <w:r>
              <w:rPr>
                <w:rFonts w:hint="eastAsia" w:ascii="宋体" w:hAnsi="宋体" w:cs="宋体"/>
                <w:bCs/>
                <w:color w:val="000000" w:themeColor="text1"/>
                <w:szCs w:val="21"/>
                <w14:textFill>
                  <w14:solidFill>
                    <w14:schemeClr w14:val="tx1"/>
                  </w14:solidFill>
                </w14:textFill>
              </w:rPr>
              <w:t>20</w:t>
            </w:r>
            <w:r>
              <w:rPr>
                <w:rFonts w:ascii="宋体" w:hAnsi="宋体" w:cs="宋体"/>
                <w:bCs/>
                <w:color w:val="000000" w:themeColor="text1"/>
                <w:szCs w:val="21"/>
                <w14:textFill>
                  <w14:solidFill>
                    <w14:schemeClr w14:val="tx1"/>
                  </w14:solidFill>
                </w14:textFill>
              </w:rPr>
              <w:t>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对项目理解较透彻，认识较深刻，</w:t>
            </w:r>
            <w:r>
              <w:rPr>
                <w:rFonts w:ascii="宋体" w:hAnsi="宋体" w:cs="宋体"/>
                <w:bCs/>
                <w:color w:val="000000" w:themeColor="text1"/>
                <w:szCs w:val="21"/>
                <w14:textFill>
                  <w14:solidFill>
                    <w14:schemeClr w14:val="tx1"/>
                  </w14:solidFill>
                </w14:textFill>
              </w:rPr>
              <w:t>满足用户需求得</w:t>
            </w:r>
            <w:r>
              <w:rPr>
                <w:rFonts w:hint="eastAsia" w:ascii="宋体" w:hAnsi="宋体" w:cs="宋体"/>
                <w:bCs/>
                <w:color w:val="000000" w:themeColor="text1"/>
                <w:szCs w:val="21"/>
                <w14:textFill>
                  <w14:solidFill>
                    <w14:schemeClr w14:val="tx1"/>
                  </w14:solidFill>
                </w14:textFill>
              </w:rPr>
              <w:t>16</w:t>
            </w:r>
            <w:r>
              <w:rPr>
                <w:rFonts w:ascii="宋体" w:hAnsi="宋体" w:cs="宋体"/>
                <w:bCs/>
                <w:color w:val="000000" w:themeColor="text1"/>
                <w:szCs w:val="21"/>
                <w14:textFill>
                  <w14:solidFill>
                    <w14:schemeClr w14:val="tx1"/>
                  </w14:solidFill>
                </w14:textFill>
              </w:rPr>
              <w:t>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对项目理解一般，认识一般，</w:t>
            </w:r>
            <w:r>
              <w:rPr>
                <w:rFonts w:ascii="宋体" w:hAnsi="宋体" w:cs="宋体"/>
                <w:bCs/>
                <w:color w:val="000000" w:themeColor="text1"/>
                <w:szCs w:val="21"/>
                <w14:textFill>
                  <w14:solidFill>
                    <w14:schemeClr w14:val="tx1"/>
                  </w14:solidFill>
                </w14:textFill>
              </w:rPr>
              <w:t>基本满足用户需求得</w:t>
            </w:r>
            <w:r>
              <w:rPr>
                <w:rFonts w:hint="eastAsia" w:ascii="宋体" w:hAnsi="宋体" w:cs="宋体"/>
                <w:bCs/>
                <w:color w:val="000000" w:themeColor="text1"/>
                <w:szCs w:val="21"/>
                <w14:textFill>
                  <w14:solidFill>
                    <w14:schemeClr w14:val="tx1"/>
                  </w14:solidFill>
                </w14:textFill>
              </w:rPr>
              <w:t>12</w:t>
            </w:r>
            <w:r>
              <w:rPr>
                <w:rFonts w:ascii="宋体" w:hAnsi="宋体" w:cs="宋体"/>
                <w:bCs/>
                <w:color w:val="000000" w:themeColor="text1"/>
                <w:szCs w:val="21"/>
                <w14:textFill>
                  <w14:solidFill>
                    <w14:schemeClr w14:val="tx1"/>
                  </w14:solidFill>
                </w14:textFill>
              </w:rPr>
              <w:t>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对项目理解较差，认识较差，不太满足用户需求得8分；</w:t>
            </w:r>
          </w:p>
          <w:p>
            <w:pPr>
              <w:widowControl w:val="0"/>
              <w:spacing w:line="240" w:lineRule="auto"/>
              <w:jc w:val="both"/>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完全没有相关内容的，本评分项得</w:t>
            </w:r>
            <w:r>
              <w:rPr>
                <w:rFonts w:ascii="宋体" w:hAnsi="宋体" w:cs="宋体"/>
                <w:bCs/>
                <w:color w:val="000000" w:themeColor="text1"/>
                <w:szCs w:val="21"/>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continue"/>
            <w:shd w:val="clear" w:color="auto" w:fill="auto"/>
            <w:vAlign w:val="center"/>
          </w:tcPr>
          <w:p>
            <w:pPr>
              <w:spacing w:line="240" w:lineRule="auto"/>
              <w:jc w:val="center"/>
              <w:rPr>
                <w:rFonts w:ascii="宋体" w:hAnsi="宋体" w:cs="Microsoft JhengHei"/>
                <w:szCs w:val="21"/>
              </w:rPr>
            </w:pPr>
          </w:p>
        </w:tc>
        <w:tc>
          <w:tcPr>
            <w:tcW w:w="2693" w:type="dxa"/>
            <w:shd w:val="clear" w:color="auto" w:fill="auto"/>
            <w:vAlign w:val="center"/>
          </w:tcPr>
          <w:p>
            <w:pPr>
              <w:pStyle w:val="12"/>
              <w:spacing w:before="1" w:line="240" w:lineRule="atLeast"/>
              <w:ind w:left="102"/>
              <w:jc w:val="center"/>
              <w:rPr>
                <w:rFonts w:asciiTheme="minorEastAsia" w:hAnsiTheme="minorEastAsia" w:eastAsiaTheme="minorEastAsia"/>
                <w:color w:val="000000" w:themeColor="text1"/>
                <w:szCs w:val="21"/>
                <w:lang w:eastAsia="en-US"/>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进度</w:t>
            </w:r>
            <w:r>
              <w:rPr>
                <w:rFonts w:hint="eastAsia" w:asciiTheme="minorEastAsia" w:hAnsiTheme="minorEastAsia" w:eastAsiaTheme="minorEastAsia"/>
                <w:color w:val="000000" w:themeColor="text1"/>
                <w:szCs w:val="21"/>
                <w:lang w:eastAsia="en-US"/>
                <w14:textFill>
                  <w14:solidFill>
                    <w14:schemeClr w14:val="tx1"/>
                  </w14:solidFill>
                </w14:textFill>
              </w:rPr>
              <w:t>控制方案</w:t>
            </w:r>
          </w:p>
          <w:p>
            <w:pPr>
              <w:widowControl w:val="0"/>
              <w:spacing w:line="240" w:lineRule="auto"/>
              <w:jc w:val="center"/>
              <w:rPr>
                <w:rFonts w:ascii="宋体" w:hAnsi="宋体"/>
                <w:color w:val="000000" w:themeColor="text1"/>
                <w:szCs w:val="21"/>
                <w14:textFill>
                  <w14:solidFill>
                    <w14:schemeClr w14:val="tx1"/>
                  </w14:solidFill>
                </w14:textFill>
              </w:rPr>
            </w:pPr>
            <w:r>
              <w:rPr>
                <w:rFonts w:asciiTheme="minorEastAsia" w:hAnsiTheme="minorEastAsia" w:eastAsiaTheme="minorEastAsia"/>
                <w:color w:val="000000" w:themeColor="text1"/>
                <w:szCs w:val="21"/>
                <w:lang w:eastAsia="en-US"/>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10</w:t>
            </w:r>
            <w:r>
              <w:rPr>
                <w:rFonts w:asciiTheme="minorEastAsia" w:hAnsiTheme="minorEastAsia" w:eastAsiaTheme="minorEastAsia"/>
                <w:color w:val="000000" w:themeColor="text1"/>
                <w:szCs w:val="21"/>
                <w:lang w:eastAsia="en-US"/>
                <w14:textFill>
                  <w14:solidFill>
                    <w14:schemeClr w14:val="tx1"/>
                  </w14:solidFill>
                </w14:textFill>
              </w:rPr>
              <w:t>分）</w:t>
            </w:r>
          </w:p>
        </w:tc>
        <w:tc>
          <w:tcPr>
            <w:tcW w:w="9923" w:type="dxa"/>
            <w:shd w:val="clear" w:color="auto" w:fill="auto"/>
            <w:vAlign w:val="center"/>
          </w:tcPr>
          <w:p>
            <w:pPr>
              <w:widowControl w:val="0"/>
              <w:spacing w:line="240" w:lineRule="auto"/>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根据“项目服务需求”提供响应方案，应包括对被项目的进度控制方法和措施，以及处理进度延迟的能力和策略：</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方案详细，科学、合理，得10分；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方案比较详细，比较科学、合理，得8分；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方案较详细，合理性一般,得6分；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方案不够详细，合理性较差,得4分；</w:t>
            </w:r>
          </w:p>
          <w:p>
            <w:pPr>
              <w:widowControl w:val="0"/>
              <w:spacing w:line="240" w:lineRule="auto"/>
              <w:jc w:val="both"/>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未提供或内容偏离项目实际需求，得0分。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continue"/>
            <w:shd w:val="clear" w:color="auto" w:fill="auto"/>
            <w:vAlign w:val="center"/>
          </w:tcPr>
          <w:p>
            <w:pPr>
              <w:spacing w:line="240" w:lineRule="auto"/>
              <w:jc w:val="center"/>
              <w:rPr>
                <w:rFonts w:ascii="宋体" w:hAnsi="宋体" w:cs="Microsoft JhengHei"/>
                <w:szCs w:val="21"/>
              </w:rPr>
            </w:pPr>
          </w:p>
        </w:tc>
        <w:tc>
          <w:tcPr>
            <w:tcW w:w="2693" w:type="dxa"/>
            <w:shd w:val="clear" w:color="auto" w:fill="auto"/>
            <w:vAlign w:val="center"/>
          </w:tcPr>
          <w:p>
            <w:pPr>
              <w:widowControl w:val="0"/>
              <w:spacing w:line="24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质量控制方案</w:t>
            </w:r>
          </w:p>
          <w:p>
            <w:pPr>
              <w:widowControl w:val="0"/>
              <w:spacing w:line="24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（5分）</w:t>
            </w:r>
          </w:p>
        </w:tc>
        <w:tc>
          <w:tcPr>
            <w:tcW w:w="9923" w:type="dxa"/>
            <w:shd w:val="clear" w:color="auto" w:fill="auto"/>
            <w:vAlign w:val="center"/>
          </w:tcPr>
          <w:p>
            <w:pPr>
              <w:widowControl w:val="0"/>
              <w:spacing w:line="240" w:lineRule="auto"/>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根据“项目服务需求”提供响应方案，应包括对项目提供质量控制措施：</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方案详细，科学、合理，得5分；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方案比较详细，比较科学、合理，得4分；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方案较详细，合理性一般，得3分；</w:t>
            </w:r>
          </w:p>
          <w:p>
            <w:pPr>
              <w:widowControl w:val="0"/>
              <w:spacing w:line="24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方案不够详细，合理性较差，得1分；</w:t>
            </w:r>
          </w:p>
          <w:p>
            <w:pPr>
              <w:widowControl w:val="0"/>
              <w:spacing w:line="240" w:lineRule="auto"/>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未提供或内容偏离项目实际需求，得0分。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restart"/>
            <w:shd w:val="clear" w:color="auto" w:fill="auto"/>
            <w:vAlign w:val="center"/>
          </w:tcPr>
          <w:p>
            <w:pPr>
              <w:spacing w:line="240" w:lineRule="auto"/>
              <w:jc w:val="center"/>
              <w:rPr>
                <w:rFonts w:ascii="宋体" w:hAnsi="宋体" w:cs="Microsoft JhengHei"/>
                <w:szCs w:val="21"/>
              </w:rPr>
            </w:pPr>
            <w:r>
              <w:rPr>
                <w:rFonts w:ascii="宋体" w:hAnsi="宋体" w:cs="Microsoft JhengHei"/>
                <w:szCs w:val="21"/>
              </w:rPr>
              <w:t>商务部分</w:t>
            </w:r>
          </w:p>
          <w:p>
            <w:pPr>
              <w:spacing w:line="240" w:lineRule="auto"/>
              <w:jc w:val="center"/>
              <w:rPr>
                <w:rFonts w:ascii="宋体" w:hAnsi="宋体" w:cs="Microsoft JhengHei"/>
                <w:szCs w:val="21"/>
              </w:rPr>
            </w:pPr>
            <w:r>
              <w:rPr>
                <w:rFonts w:hint="eastAsia" w:ascii="宋体" w:hAnsi="宋体" w:cs="Microsoft JhengHei"/>
                <w:szCs w:val="21"/>
              </w:rPr>
              <w:t>（45分）</w:t>
            </w:r>
          </w:p>
        </w:tc>
        <w:tc>
          <w:tcPr>
            <w:tcW w:w="2693" w:type="dxa"/>
            <w:shd w:val="clear" w:color="auto" w:fill="auto"/>
            <w:vAlign w:val="center"/>
          </w:tcPr>
          <w:p>
            <w:pPr>
              <w:widowControl w:val="0"/>
              <w:spacing w:line="240" w:lineRule="auto"/>
              <w:jc w:val="center"/>
              <w:rPr>
                <w:rFonts w:ascii="宋体" w:hAnsi="宋体"/>
                <w:szCs w:val="21"/>
              </w:rPr>
            </w:pPr>
            <w:r>
              <w:rPr>
                <w:rFonts w:hint="eastAsia" w:ascii="宋体" w:hAnsi="宋体"/>
                <w:szCs w:val="21"/>
              </w:rPr>
              <w:t>供应商管理体系认证（5分）</w:t>
            </w:r>
          </w:p>
        </w:tc>
        <w:tc>
          <w:tcPr>
            <w:tcW w:w="9923" w:type="dxa"/>
            <w:shd w:val="clear" w:color="auto" w:fill="auto"/>
            <w:vAlign w:val="center"/>
          </w:tcPr>
          <w:p>
            <w:pPr>
              <w:widowControl w:val="0"/>
              <w:spacing w:line="240" w:lineRule="auto"/>
              <w:jc w:val="both"/>
              <w:rPr>
                <w:rFonts w:ascii="宋体" w:hAnsi="宋体"/>
                <w:szCs w:val="21"/>
              </w:rPr>
            </w:pPr>
            <w:r>
              <w:rPr>
                <w:rFonts w:ascii="宋体" w:hAnsi="宋体"/>
                <w:szCs w:val="21"/>
              </w:rPr>
              <w:t>1</w:t>
            </w:r>
            <w:r>
              <w:rPr>
                <w:rFonts w:hint="eastAsia" w:ascii="宋体" w:hAnsi="宋体"/>
                <w:szCs w:val="21"/>
              </w:rPr>
              <w:t>.</w:t>
            </w:r>
            <w:r>
              <w:rPr>
                <w:rFonts w:ascii="宋体" w:hAnsi="宋体"/>
                <w:szCs w:val="21"/>
              </w:rPr>
              <w:t>具有质量管理体系认证证书，得</w:t>
            </w:r>
            <w:r>
              <w:rPr>
                <w:rFonts w:hint="eastAsia" w:ascii="宋体" w:hAnsi="宋体"/>
                <w:szCs w:val="21"/>
              </w:rPr>
              <w:t>2</w:t>
            </w:r>
            <w:r>
              <w:rPr>
                <w:rFonts w:ascii="宋体" w:hAnsi="宋体"/>
                <w:szCs w:val="21"/>
              </w:rPr>
              <w:t>分</w:t>
            </w:r>
            <w:r>
              <w:rPr>
                <w:rFonts w:hint="eastAsia" w:ascii="宋体" w:hAnsi="宋体"/>
                <w:szCs w:val="21"/>
              </w:rPr>
              <w:t>；</w:t>
            </w:r>
          </w:p>
          <w:p>
            <w:pPr>
              <w:widowControl w:val="0"/>
              <w:spacing w:line="240" w:lineRule="auto"/>
              <w:jc w:val="both"/>
              <w:rPr>
                <w:rFonts w:ascii="宋体" w:hAnsi="宋体"/>
                <w:szCs w:val="21"/>
              </w:rPr>
            </w:pPr>
            <w:r>
              <w:rPr>
                <w:rFonts w:hint="eastAsia" w:ascii="宋体" w:hAnsi="宋体"/>
                <w:szCs w:val="21"/>
              </w:rPr>
              <w:t>2.</w:t>
            </w:r>
            <w:r>
              <w:rPr>
                <w:rFonts w:ascii="宋体" w:hAnsi="宋体"/>
                <w:szCs w:val="21"/>
              </w:rPr>
              <w:t>具有</w:t>
            </w:r>
            <w:r>
              <w:rPr>
                <w:rFonts w:hint="eastAsia" w:ascii="宋体" w:hAnsi="宋体"/>
                <w:szCs w:val="21"/>
              </w:rPr>
              <w:t>工程咨询单位资信</w:t>
            </w:r>
            <w:r>
              <w:rPr>
                <w:rFonts w:ascii="宋体" w:hAnsi="宋体"/>
                <w:szCs w:val="21"/>
              </w:rPr>
              <w:t>证书，</w:t>
            </w:r>
            <w:r>
              <w:rPr>
                <w:rFonts w:hint="eastAsia" w:ascii="宋体" w:hAnsi="宋体"/>
                <w:szCs w:val="21"/>
              </w:rPr>
              <w:t>乙级得1分，甲级</w:t>
            </w:r>
            <w:r>
              <w:rPr>
                <w:rFonts w:ascii="宋体" w:hAnsi="宋体"/>
                <w:szCs w:val="21"/>
              </w:rPr>
              <w:t>得</w:t>
            </w:r>
            <w:r>
              <w:rPr>
                <w:rFonts w:hint="eastAsia" w:ascii="宋体" w:hAnsi="宋体"/>
                <w:szCs w:val="21"/>
              </w:rPr>
              <w:t>3</w:t>
            </w:r>
            <w:r>
              <w:rPr>
                <w:rFonts w:ascii="宋体" w:hAnsi="宋体"/>
                <w:szCs w:val="21"/>
              </w:rPr>
              <w:t>分</w:t>
            </w:r>
            <w:r>
              <w:rPr>
                <w:rFonts w:hint="eastAsia" w:ascii="宋体" w:hAnsi="宋体"/>
                <w:szCs w:val="21"/>
              </w:rPr>
              <w:t>；</w:t>
            </w:r>
          </w:p>
          <w:p>
            <w:pPr>
              <w:widowControl w:val="0"/>
              <w:spacing w:line="240" w:lineRule="auto"/>
              <w:jc w:val="both"/>
              <w:rPr>
                <w:rFonts w:ascii="宋体" w:hAnsi="宋体"/>
                <w:szCs w:val="21"/>
              </w:rPr>
            </w:pPr>
            <w:r>
              <w:rPr>
                <w:rFonts w:hint="eastAsia" w:ascii="宋体" w:hAnsi="宋体"/>
                <w:szCs w:val="21"/>
              </w:rPr>
              <w:t>注：需</w:t>
            </w:r>
            <w:r>
              <w:rPr>
                <w:rFonts w:ascii="宋体" w:hAnsi="宋体"/>
                <w:szCs w:val="21"/>
              </w:rPr>
              <w:t>提供证书复印件，且证书在有效期内</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continue"/>
            <w:shd w:val="clear" w:color="auto" w:fill="auto"/>
            <w:vAlign w:val="center"/>
          </w:tcPr>
          <w:p>
            <w:pPr>
              <w:spacing w:line="240" w:lineRule="auto"/>
              <w:jc w:val="center"/>
              <w:rPr>
                <w:rFonts w:ascii="宋体" w:hAnsi="宋体" w:cs="Microsoft JhengHei"/>
                <w:szCs w:val="21"/>
              </w:rPr>
            </w:pPr>
          </w:p>
        </w:tc>
        <w:tc>
          <w:tcPr>
            <w:tcW w:w="2693" w:type="dxa"/>
            <w:shd w:val="clear" w:color="auto" w:fill="auto"/>
            <w:vAlign w:val="center"/>
          </w:tcPr>
          <w:p>
            <w:pPr>
              <w:widowControl w:val="0"/>
              <w:spacing w:line="240" w:lineRule="auto"/>
              <w:jc w:val="center"/>
              <w:rPr>
                <w:rFonts w:ascii="宋体" w:hAnsi="宋体"/>
                <w:szCs w:val="21"/>
              </w:rPr>
            </w:pPr>
            <w:r>
              <w:rPr>
                <w:rFonts w:hint="eastAsia" w:ascii="宋体" w:hAnsi="宋体"/>
                <w:szCs w:val="21"/>
              </w:rPr>
              <w:t>类似项目业绩</w:t>
            </w:r>
          </w:p>
          <w:p>
            <w:pPr>
              <w:widowControl w:val="0"/>
              <w:spacing w:line="240" w:lineRule="auto"/>
              <w:jc w:val="center"/>
              <w:rPr>
                <w:rFonts w:ascii="宋体" w:hAnsi="宋体"/>
                <w:szCs w:val="21"/>
              </w:rPr>
            </w:pPr>
            <w:r>
              <w:rPr>
                <w:rFonts w:hint="eastAsia" w:ascii="宋体" w:hAnsi="宋体"/>
                <w:szCs w:val="21"/>
              </w:rPr>
              <w:t>（20分）</w:t>
            </w:r>
          </w:p>
        </w:tc>
        <w:tc>
          <w:tcPr>
            <w:tcW w:w="9923" w:type="dxa"/>
            <w:shd w:val="clear" w:color="auto" w:fill="auto"/>
            <w:vAlign w:val="center"/>
          </w:tcPr>
          <w:p>
            <w:pPr>
              <w:widowControl w:val="0"/>
              <w:spacing w:line="240" w:lineRule="auto"/>
              <w:jc w:val="both"/>
              <w:rPr>
                <w:rFonts w:ascii="宋体" w:hAnsi="宋体"/>
                <w:szCs w:val="21"/>
              </w:rPr>
            </w:pPr>
            <w:r>
              <w:rPr>
                <w:rFonts w:hint="eastAsia" w:ascii="宋体" w:hAnsi="宋体"/>
                <w:szCs w:val="21"/>
              </w:rPr>
              <w:t>供应商近三年承担过由交通运输主管部门委托的交通运输行业统计或数据分析类项目的，每个项目得5分。</w:t>
            </w:r>
          </w:p>
          <w:p>
            <w:pPr>
              <w:widowControl w:val="0"/>
              <w:spacing w:line="240" w:lineRule="auto"/>
              <w:jc w:val="both"/>
              <w:rPr>
                <w:rFonts w:ascii="宋体" w:hAnsi="宋体"/>
                <w:szCs w:val="21"/>
              </w:rPr>
            </w:pPr>
            <w:r>
              <w:rPr>
                <w:rFonts w:hint="eastAsia" w:ascii="宋体" w:hAnsi="宋体"/>
                <w:szCs w:val="21"/>
              </w:rPr>
              <w:t>注：近三年是指2021年1月1日至今。须提供合同扫描件作为证明材料。该项合计最高不超过20分。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continue"/>
            <w:shd w:val="clear" w:color="auto" w:fill="auto"/>
            <w:vAlign w:val="center"/>
          </w:tcPr>
          <w:p>
            <w:pPr>
              <w:spacing w:line="240" w:lineRule="auto"/>
              <w:jc w:val="center"/>
              <w:rPr>
                <w:rFonts w:ascii="宋体" w:hAnsi="宋体" w:cs="Microsoft JhengHei"/>
                <w:szCs w:val="21"/>
              </w:rPr>
            </w:pPr>
          </w:p>
        </w:tc>
        <w:tc>
          <w:tcPr>
            <w:tcW w:w="2693" w:type="dxa"/>
            <w:shd w:val="clear" w:color="auto" w:fill="auto"/>
            <w:vAlign w:val="center"/>
          </w:tcPr>
          <w:p>
            <w:pPr>
              <w:widowControl w:val="0"/>
              <w:spacing w:line="240" w:lineRule="auto"/>
              <w:jc w:val="center"/>
              <w:rPr>
                <w:rFonts w:ascii="宋体" w:hAnsi="宋体"/>
                <w:szCs w:val="21"/>
              </w:rPr>
            </w:pPr>
            <w:r>
              <w:rPr>
                <w:rFonts w:hint="eastAsia" w:ascii="宋体" w:hAnsi="宋体"/>
                <w:szCs w:val="21"/>
              </w:rPr>
              <w:t>拟投入本项目的项目负责人情况（10分）</w:t>
            </w:r>
          </w:p>
        </w:tc>
        <w:tc>
          <w:tcPr>
            <w:tcW w:w="9923" w:type="dxa"/>
            <w:shd w:val="clear" w:color="auto" w:fill="auto"/>
            <w:vAlign w:val="center"/>
          </w:tcPr>
          <w:p>
            <w:pPr>
              <w:widowControl w:val="0"/>
              <w:spacing w:line="240" w:lineRule="auto"/>
              <w:rPr>
                <w:rFonts w:hint="eastAsia" w:ascii="宋体" w:hAnsi="宋体"/>
                <w:szCs w:val="21"/>
              </w:rPr>
            </w:pPr>
            <w:r>
              <w:rPr>
                <w:rFonts w:hint="eastAsia" w:ascii="宋体" w:hAnsi="宋体"/>
                <w:szCs w:val="21"/>
              </w:rPr>
              <w:t>1.具备副高及以上职称，并</w:t>
            </w:r>
            <w:r>
              <w:t>取得</w:t>
            </w:r>
            <w:r>
              <w:rPr>
                <w:rFonts w:hint="eastAsia"/>
              </w:rPr>
              <w:t>咨询工程师（投资）</w:t>
            </w:r>
            <w:r>
              <w:rPr>
                <w:rFonts w:hint="eastAsia" w:ascii="宋体" w:hAnsi="宋体"/>
                <w:szCs w:val="21"/>
              </w:rPr>
              <w:t>执业资格证书，得10分；</w:t>
            </w:r>
          </w:p>
          <w:p>
            <w:pPr>
              <w:widowControl w:val="0"/>
              <w:spacing w:line="240" w:lineRule="auto"/>
              <w:rPr>
                <w:rFonts w:ascii="宋体" w:hAnsi="宋体"/>
                <w:szCs w:val="21"/>
              </w:rPr>
            </w:pPr>
            <w:r>
              <w:rPr>
                <w:rFonts w:hint="eastAsia" w:ascii="宋体" w:hAnsi="宋体"/>
                <w:szCs w:val="21"/>
              </w:rPr>
              <w:t>2.具备中级职称的，并</w:t>
            </w:r>
            <w:r>
              <w:t>取得</w:t>
            </w:r>
            <w:r>
              <w:rPr>
                <w:rFonts w:hint="eastAsia"/>
              </w:rPr>
              <w:t>咨询工程师（投资）</w:t>
            </w:r>
            <w:r>
              <w:rPr>
                <w:rFonts w:hint="eastAsia" w:ascii="宋体" w:hAnsi="宋体"/>
                <w:szCs w:val="21"/>
              </w:rPr>
              <w:t>执业资格证书，得6分；</w:t>
            </w:r>
          </w:p>
          <w:p>
            <w:pPr>
              <w:widowControl w:val="0"/>
              <w:spacing w:line="240" w:lineRule="auto"/>
              <w:rPr>
                <w:rFonts w:ascii="宋体" w:hAnsi="宋体"/>
                <w:szCs w:val="21"/>
              </w:rPr>
            </w:pPr>
            <w:r>
              <w:rPr>
                <w:rFonts w:hint="eastAsia" w:ascii="宋体" w:hAnsi="宋体"/>
                <w:szCs w:val="21"/>
              </w:rPr>
              <w:t>3.具备中级职称的，得3分；</w:t>
            </w:r>
          </w:p>
          <w:p>
            <w:pPr>
              <w:widowControl w:val="0"/>
              <w:spacing w:line="240" w:lineRule="auto"/>
              <w:rPr>
                <w:rFonts w:ascii="宋体" w:hAnsi="宋体"/>
                <w:szCs w:val="21"/>
              </w:rPr>
            </w:pPr>
            <w:r>
              <w:rPr>
                <w:rFonts w:hint="eastAsia" w:ascii="宋体" w:hAnsi="宋体"/>
                <w:szCs w:val="21"/>
              </w:rPr>
              <w:t>4.其他，得1分。</w:t>
            </w:r>
            <w:r>
              <w:rPr>
                <w:rFonts w:ascii="宋体" w:hAnsi="宋体"/>
                <w:szCs w:val="21"/>
              </w:rPr>
              <w:br w:type="textWrapping"/>
            </w:r>
            <w:r>
              <w:rPr>
                <w:rFonts w:ascii="宋体" w:hAnsi="宋体"/>
                <w:szCs w:val="21"/>
              </w:rPr>
              <w:t>注：</w:t>
            </w:r>
            <w:r>
              <w:rPr>
                <w:rFonts w:hint="eastAsia" w:ascii="宋体" w:hAnsi="宋体"/>
                <w:szCs w:val="21"/>
              </w:rPr>
              <w:t>需提供证书（或网站截图，必须显示网站链接）复印件及2024年至今任意1个月在供应商缴纳社保证明文件（或缴纳个人所得税）复印件，否则不得分。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vMerge w:val="continue"/>
            <w:shd w:val="clear" w:color="auto" w:fill="auto"/>
            <w:vAlign w:val="center"/>
          </w:tcPr>
          <w:p>
            <w:pPr>
              <w:spacing w:line="240" w:lineRule="auto"/>
              <w:jc w:val="center"/>
              <w:rPr>
                <w:rFonts w:ascii="宋体" w:hAnsi="宋体" w:cs="Microsoft JhengHei"/>
                <w:szCs w:val="21"/>
              </w:rPr>
            </w:pPr>
          </w:p>
        </w:tc>
        <w:tc>
          <w:tcPr>
            <w:tcW w:w="2693" w:type="dxa"/>
            <w:shd w:val="clear" w:color="auto" w:fill="auto"/>
            <w:vAlign w:val="center"/>
          </w:tcPr>
          <w:p>
            <w:pPr>
              <w:widowControl w:val="0"/>
              <w:spacing w:line="240" w:lineRule="auto"/>
              <w:jc w:val="center"/>
              <w:rPr>
                <w:rFonts w:ascii="宋体" w:hAnsi="宋体"/>
                <w:szCs w:val="21"/>
              </w:rPr>
            </w:pPr>
            <w:r>
              <w:rPr>
                <w:rFonts w:hint="eastAsia" w:ascii="宋体" w:hAnsi="宋体"/>
                <w:szCs w:val="21"/>
              </w:rPr>
              <w:t>拟投入本项目的主要技术人员情况（项目负责人除外）（10分）</w:t>
            </w:r>
          </w:p>
        </w:tc>
        <w:tc>
          <w:tcPr>
            <w:tcW w:w="9923" w:type="dxa"/>
            <w:shd w:val="clear" w:color="auto" w:fill="auto"/>
            <w:vAlign w:val="center"/>
          </w:tcPr>
          <w:p>
            <w:pPr>
              <w:widowControl w:val="0"/>
              <w:spacing w:line="240" w:lineRule="auto"/>
              <w:rPr>
                <w:rFonts w:ascii="宋体" w:hAnsi="宋体"/>
                <w:szCs w:val="21"/>
              </w:rPr>
            </w:pPr>
            <w:r>
              <w:rPr>
                <w:rFonts w:hint="eastAsia" w:ascii="宋体" w:hAnsi="宋体"/>
                <w:szCs w:val="21"/>
              </w:rPr>
              <w:t>具备中级职称的每人得1分；具备副高级以上职称的每人得2分。该项合计最高不超过10分。</w:t>
            </w:r>
          </w:p>
          <w:p>
            <w:pPr>
              <w:widowControl w:val="0"/>
              <w:spacing w:line="240" w:lineRule="auto"/>
              <w:jc w:val="both"/>
              <w:rPr>
                <w:rFonts w:ascii="宋体" w:hAnsi="宋体"/>
                <w:szCs w:val="21"/>
              </w:rPr>
            </w:pPr>
            <w:r>
              <w:rPr>
                <w:rFonts w:ascii="宋体" w:hAnsi="宋体"/>
                <w:szCs w:val="21"/>
              </w:rPr>
              <w:t>注：</w:t>
            </w:r>
            <w:r>
              <w:rPr>
                <w:rFonts w:hint="eastAsia" w:ascii="宋体" w:hAnsi="宋体"/>
                <w:szCs w:val="21"/>
              </w:rPr>
              <w:t>需提供证书（或网站截图，必须显示网站链接）复印件及2024年至今任意1个月在供应商缴纳社保证明文件（或缴纳个人所得税）复印件，否则不得分。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4" w:type="dxa"/>
            <w:shd w:val="clear" w:color="auto" w:fill="auto"/>
            <w:vAlign w:val="center"/>
          </w:tcPr>
          <w:p>
            <w:pPr>
              <w:widowControl w:val="0"/>
              <w:spacing w:line="240" w:lineRule="auto"/>
              <w:jc w:val="center"/>
              <w:rPr>
                <w:rFonts w:ascii="宋体" w:hAnsi="宋体"/>
                <w:szCs w:val="21"/>
              </w:rPr>
            </w:pPr>
            <w:r>
              <w:rPr>
                <w:rFonts w:hint="eastAsia" w:ascii="宋体" w:hAnsi="宋体"/>
                <w:szCs w:val="21"/>
              </w:rPr>
              <w:t>价格部</w:t>
            </w:r>
            <w:r>
              <w:rPr>
                <w:rFonts w:ascii="宋体" w:hAnsi="宋体"/>
                <w:szCs w:val="21"/>
              </w:rPr>
              <w:t>分</w:t>
            </w:r>
          </w:p>
          <w:p>
            <w:pPr>
              <w:widowControl w:val="0"/>
              <w:spacing w:line="240" w:lineRule="auto"/>
              <w:jc w:val="center"/>
              <w:rPr>
                <w:szCs w:val="21"/>
              </w:rPr>
            </w:pPr>
            <w:r>
              <w:rPr>
                <w:rFonts w:hint="eastAsia" w:ascii="宋体" w:hAnsi="宋体"/>
                <w:szCs w:val="21"/>
              </w:rPr>
              <w:t>（20分）</w:t>
            </w:r>
          </w:p>
        </w:tc>
        <w:tc>
          <w:tcPr>
            <w:tcW w:w="2693" w:type="dxa"/>
            <w:shd w:val="clear" w:color="auto" w:fill="auto"/>
            <w:vAlign w:val="center"/>
          </w:tcPr>
          <w:p>
            <w:pPr>
              <w:widowControl w:val="0"/>
              <w:spacing w:line="240" w:lineRule="auto"/>
              <w:jc w:val="center"/>
              <w:rPr>
                <w:rFonts w:ascii="宋体" w:hAnsi="宋体"/>
                <w:szCs w:val="21"/>
              </w:rPr>
            </w:pPr>
            <w:r>
              <w:rPr>
                <w:rFonts w:hint="eastAsia" w:ascii="宋体" w:hAnsi="宋体"/>
                <w:szCs w:val="21"/>
              </w:rPr>
              <w:t>价格</w:t>
            </w:r>
            <w:r>
              <w:rPr>
                <w:rFonts w:ascii="宋体" w:hAnsi="宋体"/>
                <w:szCs w:val="21"/>
              </w:rPr>
              <w:t>得分</w:t>
            </w:r>
          </w:p>
          <w:p>
            <w:pPr>
              <w:widowControl w:val="0"/>
              <w:spacing w:line="240" w:lineRule="auto"/>
              <w:jc w:val="center"/>
              <w:rPr>
                <w:rFonts w:ascii="宋体" w:hAnsi="宋体"/>
                <w:szCs w:val="21"/>
              </w:rPr>
            </w:pPr>
            <w:r>
              <w:rPr>
                <w:rFonts w:hint="eastAsia" w:ascii="宋体" w:hAnsi="宋体"/>
                <w:szCs w:val="21"/>
              </w:rPr>
              <w:t>（20分）</w:t>
            </w:r>
          </w:p>
        </w:tc>
        <w:tc>
          <w:tcPr>
            <w:tcW w:w="9923" w:type="dxa"/>
            <w:shd w:val="clear" w:color="auto" w:fill="auto"/>
            <w:vAlign w:val="center"/>
          </w:tcPr>
          <w:p>
            <w:pPr>
              <w:widowControl w:val="0"/>
              <w:spacing w:line="240" w:lineRule="auto"/>
              <w:jc w:val="both"/>
              <w:rPr>
                <w:rFonts w:ascii="宋体" w:hAnsi="宋体"/>
                <w:szCs w:val="21"/>
              </w:rPr>
            </w:pPr>
            <w:r>
              <w:rPr>
                <w:rFonts w:hint="eastAsia" w:ascii="宋体" w:hAnsi="宋体"/>
                <w:szCs w:val="21"/>
              </w:rPr>
              <w:t>价格</w:t>
            </w:r>
            <w:r>
              <w:rPr>
                <w:rFonts w:ascii="宋体" w:hAnsi="宋体"/>
                <w:szCs w:val="21"/>
              </w:rPr>
              <w:t>得分=</w:t>
            </w:r>
            <w:r>
              <w:rPr>
                <w:rFonts w:hint="eastAsia" w:ascii="宋体" w:hAnsi="宋体"/>
                <w:szCs w:val="21"/>
              </w:rPr>
              <w:t>（基准价/报价）*价格评分权重。</w:t>
            </w:r>
          </w:p>
          <w:p>
            <w:pPr>
              <w:widowControl w:val="0"/>
              <w:spacing w:after="120" w:line="240" w:lineRule="auto"/>
              <w:jc w:val="both"/>
              <w:rPr>
                <w:rFonts w:ascii="宋体" w:hAnsi="宋体"/>
                <w:szCs w:val="21"/>
              </w:rPr>
            </w:pPr>
            <w:r>
              <w:rPr>
                <w:rFonts w:hint="eastAsia" w:ascii="宋体" w:hAnsi="宋体"/>
                <w:szCs w:val="21"/>
              </w:rPr>
              <w:t>说明：取最低报价为基准价。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314" w:type="dxa"/>
            <w:shd w:val="clear" w:color="auto" w:fill="auto"/>
            <w:vAlign w:val="center"/>
          </w:tcPr>
          <w:p>
            <w:pPr>
              <w:spacing w:line="240" w:lineRule="auto"/>
              <w:jc w:val="center"/>
              <w:rPr>
                <w:rFonts w:ascii="宋体" w:hAnsi="宋体" w:cs="Microsoft JhengHei"/>
                <w:szCs w:val="21"/>
              </w:rPr>
            </w:pPr>
            <w:r>
              <w:rPr>
                <w:rFonts w:hint="eastAsia" w:ascii="宋体" w:hAnsi="宋体" w:cs="Microsoft JhengHei"/>
                <w:szCs w:val="21"/>
              </w:rPr>
              <w:t>总分</w:t>
            </w:r>
          </w:p>
        </w:tc>
        <w:tc>
          <w:tcPr>
            <w:tcW w:w="2693" w:type="dxa"/>
            <w:shd w:val="clear" w:color="auto" w:fill="auto"/>
            <w:vAlign w:val="center"/>
          </w:tcPr>
          <w:p>
            <w:pPr>
              <w:widowControl w:val="0"/>
              <w:spacing w:line="240" w:lineRule="auto"/>
              <w:jc w:val="center"/>
              <w:rPr>
                <w:rFonts w:ascii="宋体" w:hAnsi="宋体"/>
                <w:szCs w:val="21"/>
              </w:rPr>
            </w:pPr>
            <w:r>
              <w:rPr>
                <w:rFonts w:hint="eastAsia" w:ascii="宋体" w:hAnsi="宋体"/>
                <w:szCs w:val="21"/>
              </w:rPr>
              <w:t>100分</w:t>
            </w:r>
          </w:p>
        </w:tc>
        <w:tc>
          <w:tcPr>
            <w:tcW w:w="9923" w:type="dxa"/>
            <w:shd w:val="clear" w:color="auto" w:fill="auto"/>
            <w:vAlign w:val="center"/>
          </w:tcPr>
          <w:p>
            <w:pPr>
              <w:widowControl w:val="0"/>
              <w:spacing w:line="240" w:lineRule="auto"/>
              <w:jc w:val="both"/>
              <w:rPr>
                <w:rFonts w:ascii="宋体" w:hAnsi="宋体"/>
                <w:szCs w:val="21"/>
              </w:rPr>
            </w:pPr>
          </w:p>
        </w:tc>
      </w:tr>
    </w:tbl>
    <w:p>
      <w:bookmarkStart w:id="0" w:name="_GoBack"/>
      <w:bookmarkEnd w:id="0"/>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ZDNjYWE3Mjg1YmZkMzA2YWEzNDhiYWRhNzIwYmUifQ=="/>
  </w:docVars>
  <w:rsids>
    <w:rsidRoot w:val="52274061"/>
    <w:rsid w:val="00005D24"/>
    <w:rsid w:val="000242B9"/>
    <w:rsid w:val="0005686F"/>
    <w:rsid w:val="000A2FD7"/>
    <w:rsid w:val="00101119"/>
    <w:rsid w:val="00110D52"/>
    <w:rsid w:val="00116321"/>
    <w:rsid w:val="00137E14"/>
    <w:rsid w:val="001F5A48"/>
    <w:rsid w:val="00200881"/>
    <w:rsid w:val="0020787D"/>
    <w:rsid w:val="00210A9F"/>
    <w:rsid w:val="00231BA1"/>
    <w:rsid w:val="00257C3A"/>
    <w:rsid w:val="002E7805"/>
    <w:rsid w:val="00316BAE"/>
    <w:rsid w:val="003455E0"/>
    <w:rsid w:val="00466429"/>
    <w:rsid w:val="00473210"/>
    <w:rsid w:val="004866A5"/>
    <w:rsid w:val="004A7B42"/>
    <w:rsid w:val="004B4889"/>
    <w:rsid w:val="00520AB7"/>
    <w:rsid w:val="00526B8B"/>
    <w:rsid w:val="00535336"/>
    <w:rsid w:val="00541707"/>
    <w:rsid w:val="00574532"/>
    <w:rsid w:val="005770F5"/>
    <w:rsid w:val="005A60FA"/>
    <w:rsid w:val="005B6E0E"/>
    <w:rsid w:val="00637D4D"/>
    <w:rsid w:val="0068059C"/>
    <w:rsid w:val="006A7D10"/>
    <w:rsid w:val="006B5156"/>
    <w:rsid w:val="006C4875"/>
    <w:rsid w:val="006D415E"/>
    <w:rsid w:val="006F0B94"/>
    <w:rsid w:val="00722E7F"/>
    <w:rsid w:val="00735B18"/>
    <w:rsid w:val="00770BF3"/>
    <w:rsid w:val="007B4112"/>
    <w:rsid w:val="007C5A1F"/>
    <w:rsid w:val="007D4A59"/>
    <w:rsid w:val="00831C51"/>
    <w:rsid w:val="008A475F"/>
    <w:rsid w:val="00930DC6"/>
    <w:rsid w:val="009364DA"/>
    <w:rsid w:val="00944C1B"/>
    <w:rsid w:val="00953257"/>
    <w:rsid w:val="00956819"/>
    <w:rsid w:val="00986CCF"/>
    <w:rsid w:val="009B24C4"/>
    <w:rsid w:val="009F236C"/>
    <w:rsid w:val="00A13DAE"/>
    <w:rsid w:val="00A225BB"/>
    <w:rsid w:val="00A815FA"/>
    <w:rsid w:val="00A87DA2"/>
    <w:rsid w:val="00AE272C"/>
    <w:rsid w:val="00B6111A"/>
    <w:rsid w:val="00B66642"/>
    <w:rsid w:val="00B72689"/>
    <w:rsid w:val="00B86168"/>
    <w:rsid w:val="00BA4445"/>
    <w:rsid w:val="00BC3197"/>
    <w:rsid w:val="00BE6C73"/>
    <w:rsid w:val="00C54E5D"/>
    <w:rsid w:val="00CF0907"/>
    <w:rsid w:val="00D16B94"/>
    <w:rsid w:val="00D22CC9"/>
    <w:rsid w:val="00D42710"/>
    <w:rsid w:val="00D65F09"/>
    <w:rsid w:val="00DA350C"/>
    <w:rsid w:val="00E24C1B"/>
    <w:rsid w:val="00E25677"/>
    <w:rsid w:val="00E447D5"/>
    <w:rsid w:val="00E739C7"/>
    <w:rsid w:val="00E825AC"/>
    <w:rsid w:val="00EA2D82"/>
    <w:rsid w:val="00EB6B1F"/>
    <w:rsid w:val="00F10FEA"/>
    <w:rsid w:val="02946D70"/>
    <w:rsid w:val="05102766"/>
    <w:rsid w:val="13960100"/>
    <w:rsid w:val="1AD94463"/>
    <w:rsid w:val="219629E7"/>
    <w:rsid w:val="2A345FCF"/>
    <w:rsid w:val="2D7B4196"/>
    <w:rsid w:val="327318E0"/>
    <w:rsid w:val="33225A98"/>
    <w:rsid w:val="3D850525"/>
    <w:rsid w:val="503840C7"/>
    <w:rsid w:val="52274061"/>
    <w:rsid w:val="567D422C"/>
    <w:rsid w:val="745E5245"/>
    <w:rsid w:val="760133C5"/>
    <w:rsid w:val="77BF5FFA"/>
    <w:rsid w:val="EFCEB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left="200" w:firstLine="200"/>
    </w:pPr>
  </w:style>
  <w:style w:type="paragraph" w:styleId="3">
    <w:name w:val="Body Text Indent"/>
    <w:basedOn w:val="1"/>
    <w:qFormat/>
    <w:uiPriority w:val="0"/>
    <w:pPr>
      <w:ind w:firstLine="830" w:firstLineChars="352"/>
    </w:pPr>
    <w:rPr>
      <w:rFonts w:ascii="仿宋_GB2312" w:eastAsia="仿宋_GB2312"/>
      <w:kern w:val="0"/>
      <w:sz w:val="32"/>
    </w:rPr>
  </w:style>
  <w:style w:type="paragraph" w:styleId="4">
    <w:name w:val="Balloon Text"/>
    <w:basedOn w:val="1"/>
    <w:link w:val="13"/>
    <w:qFormat/>
    <w:uiPriority w:val="0"/>
    <w:pPr>
      <w:spacing w:line="240" w:lineRule="auto"/>
    </w:pPr>
    <w:rPr>
      <w:sz w:val="18"/>
      <w:szCs w:val="18"/>
    </w:rPr>
  </w:style>
  <w:style w:type="paragraph" w:styleId="5">
    <w:name w:val="footer"/>
    <w:basedOn w:val="1"/>
    <w:link w:val="10"/>
    <w:qFormat/>
    <w:uiPriority w:val="0"/>
    <w:pPr>
      <w:tabs>
        <w:tab w:val="center" w:pos="4153"/>
        <w:tab w:val="right" w:pos="8306"/>
      </w:tabs>
      <w:snapToGrid w:val="0"/>
      <w:spacing w:line="240" w:lineRule="atLeas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字符"/>
    <w:basedOn w:val="8"/>
    <w:link w:val="6"/>
    <w:qFormat/>
    <w:uiPriority w:val="0"/>
    <w:rPr>
      <w:rFonts w:ascii="Times New Roman" w:hAnsi="Times New Roman" w:eastAsia="宋体" w:cs="Times New Roman"/>
      <w:kern w:val="2"/>
      <w:sz w:val="18"/>
      <w:szCs w:val="18"/>
    </w:rPr>
  </w:style>
  <w:style w:type="character" w:customStyle="1" w:styleId="10">
    <w:name w:val="页脚 字符"/>
    <w:basedOn w:val="8"/>
    <w:link w:val="5"/>
    <w:qFormat/>
    <w:uiPriority w:val="0"/>
    <w:rPr>
      <w:rFonts w:ascii="Times New Roman" w:hAnsi="Times New Roman" w:eastAsia="宋体" w:cs="Times New Roman"/>
      <w:kern w:val="2"/>
      <w:sz w:val="18"/>
      <w:szCs w:val="18"/>
    </w:rPr>
  </w:style>
  <w:style w:type="paragraph" w:styleId="11">
    <w:name w:val="List Paragraph"/>
    <w:basedOn w:val="1"/>
    <w:unhideWhenUsed/>
    <w:qFormat/>
    <w:uiPriority w:val="99"/>
    <w:pPr>
      <w:ind w:firstLine="420" w:firstLineChars="200"/>
    </w:pPr>
  </w:style>
  <w:style w:type="paragraph" w:customStyle="1" w:styleId="12">
    <w:name w:val="Table Paragraph"/>
    <w:basedOn w:val="1"/>
    <w:qFormat/>
    <w:uiPriority w:val="1"/>
  </w:style>
  <w:style w:type="character" w:customStyle="1" w:styleId="13">
    <w:name w:val="批注框文本 字符"/>
    <w:basedOn w:val="8"/>
    <w:link w:val="4"/>
    <w:qFormat/>
    <w:uiPriority w:val="0"/>
    <w:rPr>
      <w:rFonts w:ascii="Times New Roman" w:hAnsi="Times New Roman" w:eastAsia="宋体" w:cs="Times New Roman"/>
      <w:kern w:val="2"/>
      <w:sz w:val="18"/>
      <w:szCs w:val="18"/>
    </w:rPr>
  </w:style>
  <w:style w:type="paragraph" w:customStyle="1" w:styleId="14">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170</Words>
  <Characters>973</Characters>
  <Lines>8</Lines>
  <Paragraphs>2</Paragraphs>
  <TotalTime>95</TotalTime>
  <ScaleCrop>false</ScaleCrop>
  <LinksUpToDate>false</LinksUpToDate>
  <CharactersWithSpaces>1141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2022-07-27T16:47:00Z</dcterms:created>
  <dc:creator>liuch</dc:creator>
  <cp:lastModifiedBy>AKG</cp:lastModifiedBy>
  <cp:lastPrinted>2022-09-16T08:37:00Z</cp:lastPrinted>
  <dcterms:modified xsi:type="dcterms:W3CDTF">2024-07-23T07:21:54Z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5DA1B47ACEDA404B92F296487A024277</vt:lpwstr>
  </property>
</Properties>
</file>