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widowControl w:val="0"/>
        <w:spacing w:after="120" w:line="360" w:lineRule="auto"/>
        <w:ind w:left="420" w:leftChars="200"/>
        <w:jc w:val="center"/>
        <w:rPr>
          <w:rFonts w:ascii="宋体" w:hAnsi="宋体" w:cs="Microsoft JhengHei"/>
          <w:b/>
          <w:color w:val="auto"/>
          <w:position w:val="-1"/>
          <w:sz w:val="36"/>
          <w:szCs w:val="36"/>
        </w:rPr>
      </w:pPr>
      <w:r>
        <w:rPr>
          <w:rFonts w:hint="eastAsia" w:ascii="宋体" w:hAnsi="宋体" w:cs="Microsoft JhengHei"/>
          <w:b/>
          <w:color w:val="auto"/>
          <w:position w:val="-1"/>
          <w:sz w:val="36"/>
          <w:szCs w:val="36"/>
        </w:rPr>
        <w:t>报价方案评审标准</w:t>
      </w:r>
    </w:p>
    <w:tbl>
      <w:tblPr>
        <w:tblStyle w:val="7"/>
        <w:tblW w:w="13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14"/>
        <w:gridCol w:w="2693"/>
        <w:gridCol w:w="9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9" w:hRule="atLeast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宋体" w:hAnsi="宋体" w:cs="Microsoft JhengHei"/>
                <w:b/>
                <w:color w:val="auto"/>
                <w:position w:val="-1"/>
                <w:sz w:val="24"/>
              </w:rPr>
              <w:t>评审因素</w:t>
            </w:r>
          </w:p>
        </w:tc>
        <w:tc>
          <w:tcPr>
            <w:tcW w:w="12436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宋体" w:hAnsi="宋体" w:cs="Microsoft JhengHei"/>
                <w:b/>
                <w:color w:val="auto"/>
                <w:position w:val="-1"/>
                <w:sz w:val="24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9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color w:val="auto"/>
                <w:sz w:val="24"/>
              </w:rPr>
            </w:pPr>
          </w:p>
        </w:tc>
        <w:tc>
          <w:tcPr>
            <w:tcW w:w="12436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131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Microsoft JhengHei"/>
                <w:color w:val="auto"/>
                <w:sz w:val="24"/>
              </w:rPr>
              <w:t>资质审查</w:t>
            </w:r>
          </w:p>
        </w:tc>
        <w:tc>
          <w:tcPr>
            <w:tcW w:w="12436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Helvetic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对照购买服务公告第四点内容进行资料审查，如资料不齐全，则不予通过，不得参加后续评分。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color w:val="auto"/>
                <w:sz w:val="24"/>
              </w:rPr>
            </w:pPr>
            <w:r>
              <w:rPr>
                <w:rFonts w:ascii="宋体" w:hAnsi="宋体" w:cs="Microsoft JhengHei"/>
                <w:color w:val="auto"/>
                <w:sz w:val="24"/>
              </w:rPr>
              <w:t>技术部分</w:t>
            </w:r>
          </w:p>
          <w:p>
            <w:pPr>
              <w:spacing w:line="240" w:lineRule="auto"/>
              <w:jc w:val="center"/>
              <w:rPr>
                <w:rFonts w:ascii="宋体" w:hAnsi="宋体" w:cs="Helvetica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Microsoft JhengHei"/>
                <w:color w:val="auto"/>
                <w:sz w:val="24"/>
              </w:rPr>
              <w:t>（</w:t>
            </w:r>
            <w:r>
              <w:rPr>
                <w:rFonts w:hint="eastAsia" w:ascii="宋体" w:hAnsi="宋体" w:cs="Microsoft JhengHei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Microsoft JhengHei"/>
                <w:color w:val="auto"/>
                <w:sz w:val="24"/>
              </w:rPr>
              <w:t>0分）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对项目的理解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24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对项目理解全面、准确，认识深刻，</w:t>
            </w:r>
            <w:r>
              <w:rPr>
                <w:rFonts w:ascii="宋体" w:hAnsi="宋体" w:cs="宋体"/>
                <w:bCs/>
                <w:color w:val="auto"/>
                <w:sz w:val="24"/>
              </w:rPr>
              <w:t>完全满足且优于用户需求得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0</w:t>
            </w:r>
            <w:r>
              <w:rPr>
                <w:rFonts w:ascii="宋体" w:hAnsi="宋体" w:cs="宋体"/>
                <w:bCs/>
                <w:color w:val="auto"/>
                <w:sz w:val="24"/>
              </w:rPr>
              <w:t>分；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对项目理解较透彻，认识较深刻，</w:t>
            </w:r>
            <w:r>
              <w:rPr>
                <w:rFonts w:ascii="宋体" w:hAnsi="宋体" w:cs="宋体"/>
                <w:bCs/>
                <w:color w:val="auto"/>
                <w:sz w:val="24"/>
              </w:rPr>
              <w:t>满足用户需求得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bCs/>
                <w:color w:val="auto"/>
                <w:sz w:val="24"/>
              </w:rPr>
              <w:t>分；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对项目理解一般，认识一般，</w:t>
            </w:r>
            <w:r>
              <w:rPr>
                <w:rFonts w:ascii="宋体" w:hAnsi="宋体" w:cs="宋体"/>
                <w:bCs/>
                <w:color w:val="auto"/>
                <w:sz w:val="24"/>
              </w:rPr>
              <w:t>基本满足用户需求得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6</w:t>
            </w:r>
            <w:r>
              <w:rPr>
                <w:rFonts w:ascii="宋体" w:hAnsi="宋体" w:cs="宋体"/>
                <w:bCs/>
                <w:color w:val="auto"/>
                <w:sz w:val="24"/>
              </w:rPr>
              <w:t>分；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对项目理解较差，认识较差，不太满足用户需求得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分；完全没有相关内容的，本评分项得</w:t>
            </w:r>
            <w:r>
              <w:rPr>
                <w:rFonts w:ascii="宋体" w:hAnsi="宋体" w:cs="宋体"/>
                <w:bCs/>
                <w:color w:val="auto"/>
                <w:sz w:val="24"/>
              </w:rPr>
              <w:t>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99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color w:val="auto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pStyle w:val="12"/>
              <w:spacing w:before="1" w:line="240" w:lineRule="atLeast"/>
              <w:ind w:left="102"/>
              <w:jc w:val="center"/>
              <w:rPr>
                <w:rFonts w:asciiTheme="minorEastAsia" w:hAnsiTheme="minorEastAsia" w:eastAsiaTheme="minorEastAsia"/>
                <w:color w:val="auto"/>
                <w:sz w:val="24"/>
                <w:lang w:eastAsia="en-US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</w:rPr>
              <w:t>进度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eastAsia="en-US"/>
              </w:rPr>
              <w:t>控制方案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Theme="minorEastAsia" w:hAnsiTheme="minorEastAsia" w:eastAsiaTheme="minorEastAsia"/>
                <w:color w:val="auto"/>
                <w:sz w:val="24"/>
                <w:lang w:eastAsia="en-US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auto"/>
                <w:sz w:val="24"/>
                <w:lang w:val="en-US" w:eastAsia="zh-CN"/>
              </w:rPr>
              <w:t>10</w:t>
            </w:r>
            <w:r>
              <w:rPr>
                <w:rFonts w:asciiTheme="minorEastAsia" w:hAnsiTheme="minorEastAsia" w:eastAsiaTheme="minorEastAsia"/>
                <w:color w:val="auto"/>
                <w:sz w:val="24"/>
                <w:lang w:eastAsia="en-US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根据“项目服务需求”提供响应方案，应包括对被项目的进度控制方法和措施，以及处理进度延迟的能力和策略：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方案详细，科学、合理，得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分；方案比较详细，比较科学、合理，得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分；方案较详细，合理性一般,得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分；方案不够详细，合理性较差,得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分；未提供或内容偏离项目实际需求，得0分。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color w:val="auto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质量控制方案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4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根据“项目服务需求”提供响应方案，应包括对项目提供质量控制措施：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</w:rPr>
              <w:t>方案详细，科学、合理，得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分；方案比较详细，比较科学、合理，得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分；方案较详细，合理性一般,得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分；方案不够详细，合理性较差,得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分；未提供或内容偏离项目实际需求，得0分。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4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color w:val="auto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服务保障方案</w:t>
            </w:r>
          </w:p>
          <w:p>
            <w:pPr>
              <w:widowControl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（10分）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横向对比服务保障方案，从高到低排序：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第1名，得10分；第2名，得8分；第3名，得6分；第4名，得</w:t>
            </w:r>
            <w:r>
              <w:rPr>
                <w:rFonts w:hint="eastAsia" w:ascii="宋体" w:hAnsi="宋体" w:cs="宋体"/>
                <w:bCs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auto"/>
                <w:sz w:val="24"/>
              </w:rPr>
              <w:t>分；其他名次，不得分。未提供或内容偏离项目实际需求，得0分。</w:t>
            </w:r>
          </w:p>
        </w:tc>
      </w:tr>
    </w:tbl>
    <w:p>
      <w:pPr>
        <w:rPr>
          <w:color w:val="auto"/>
        </w:rPr>
      </w:pPr>
      <w:r>
        <w:rPr>
          <w:rFonts w:hint="eastAsia"/>
          <w:color w:val="auto"/>
        </w:rPr>
        <w:t>（续上表）</w:t>
      </w:r>
    </w:p>
    <w:tbl>
      <w:tblPr>
        <w:tblStyle w:val="7"/>
        <w:tblW w:w="13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14"/>
        <w:gridCol w:w="2693"/>
        <w:gridCol w:w="9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  <w:jc w:val="center"/>
        </w:trPr>
        <w:tc>
          <w:tcPr>
            <w:tcW w:w="131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color w:val="auto"/>
                <w:sz w:val="24"/>
              </w:rPr>
            </w:pPr>
            <w:r>
              <w:rPr>
                <w:rFonts w:ascii="宋体" w:hAnsi="宋体" w:cs="Microsoft JhengHei"/>
                <w:b/>
                <w:color w:val="auto"/>
                <w:position w:val="-1"/>
                <w:sz w:val="24"/>
              </w:rPr>
              <w:t>评审因素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 w:cs="Microsoft JhengHei"/>
                <w:b/>
                <w:color w:val="auto"/>
                <w:position w:val="-1"/>
                <w:sz w:val="24"/>
              </w:rPr>
              <w:t>评审标准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 w:cs="Microsoft JhengHei"/>
                <w:b/>
                <w:color w:val="auto"/>
                <w:position w:val="-1"/>
                <w:sz w:val="24"/>
              </w:rPr>
              <w:t>评审因素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color w:val="auto"/>
                <w:sz w:val="24"/>
              </w:rPr>
            </w:pPr>
            <w:r>
              <w:rPr>
                <w:rFonts w:ascii="宋体" w:hAnsi="宋体" w:cs="Microsoft JhengHei"/>
                <w:color w:val="auto"/>
                <w:sz w:val="24"/>
              </w:rPr>
              <w:t>商务部分</w:t>
            </w:r>
          </w:p>
          <w:p>
            <w:pPr>
              <w:spacing w:line="240" w:lineRule="auto"/>
              <w:jc w:val="center"/>
              <w:rPr>
                <w:rFonts w:ascii="宋体" w:hAnsi="宋体" w:cs="Microsoft JhengHei"/>
                <w:color w:val="auto"/>
                <w:sz w:val="24"/>
              </w:rPr>
            </w:pPr>
            <w:r>
              <w:rPr>
                <w:rFonts w:hint="eastAsia" w:ascii="宋体" w:hAnsi="宋体" w:cs="Microsoft JhengHei"/>
                <w:color w:val="auto"/>
                <w:sz w:val="24"/>
              </w:rPr>
              <w:t>（</w:t>
            </w:r>
            <w:r>
              <w:rPr>
                <w:rFonts w:hint="eastAsia" w:ascii="宋体" w:hAnsi="宋体" w:cs="Microsoft JhengHei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Microsoft JhengHei"/>
                <w:color w:val="auto"/>
                <w:sz w:val="24"/>
              </w:rPr>
              <w:t>0分）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供应商管理体系认证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（1）</w:t>
            </w:r>
            <w:r>
              <w:rPr>
                <w:rFonts w:ascii="宋体" w:hAnsi="宋体"/>
                <w:color w:val="auto"/>
                <w:sz w:val="24"/>
              </w:rPr>
              <w:t>具有质量管理体系认证证书，得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</w:t>
            </w:r>
            <w:r>
              <w:rPr>
                <w:rFonts w:ascii="宋体" w:hAnsi="宋体"/>
                <w:color w:val="auto"/>
                <w:sz w:val="24"/>
              </w:rPr>
              <w:t>分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。</w:t>
            </w:r>
            <w:r>
              <w:rPr>
                <w:rFonts w:hint="eastAsia" w:ascii="宋体" w:hAnsi="宋体"/>
                <w:color w:val="auto"/>
                <w:sz w:val="24"/>
              </w:rPr>
              <w:t>注：需</w:t>
            </w:r>
            <w:r>
              <w:rPr>
                <w:rFonts w:ascii="宋体" w:hAnsi="宋体"/>
                <w:color w:val="auto"/>
                <w:sz w:val="24"/>
              </w:rPr>
              <w:t>提供证书复印件，且证书在有效期内</w:t>
            </w:r>
            <w:r>
              <w:rPr>
                <w:rFonts w:hint="eastAsia" w:ascii="宋体" w:hAnsi="宋体"/>
                <w:color w:val="auto"/>
                <w:sz w:val="24"/>
              </w:rPr>
              <w:t>。联合体报价的，联合体各方提供的资料均可得分。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3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color w:val="auto"/>
                <w:sz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类似项目业绩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/>
                <w:color w:val="auto"/>
                <w:sz w:val="24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根据2021年至202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年供应商承担的铁路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城市轨道交通运营安全、应急管理、服务相关的研究课题进行评分：承担省级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及以上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研究课题的，每个项目得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分；承担市级研究课题的，每个项目得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分。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注：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须提供合同扫描件等证明材料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2.联合体报价的，联合体各方提供的资料均可得分</w:t>
            </w:r>
            <w:r>
              <w:rPr>
                <w:rFonts w:hint="eastAsia" w:ascii="宋体" w:hAnsi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该项最高不超过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3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color w:val="auto"/>
                <w:sz w:val="24"/>
              </w:rPr>
            </w:pP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根据2021年至202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年供应商承担的铁路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城市轨道交通管理政策或法规研究等项目研究成果，被行业主管部门采纳并印发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情况进行评分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被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省级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（及以上）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政府或省直行业主管部门（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及以上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）印发的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，每个项目得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分；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被市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级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政府或市直行业主管部门印发的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，每个项目得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分。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注：1.需提供成果研究及其印发证明文件；2.联合体报价的，联合体各方提供的资料均可得分。该项最高不超过10分。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3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color w:val="auto"/>
                <w:sz w:val="24"/>
              </w:rPr>
            </w:pP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根据2021年至202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</w:rPr>
              <w:t>年供应商承担的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立法</w:t>
            </w:r>
            <w:r>
              <w:rPr>
                <w:rFonts w:hint="eastAsia" w:ascii="宋体" w:hAnsi="宋体"/>
                <w:color w:val="auto"/>
                <w:sz w:val="24"/>
              </w:rPr>
              <w:t>研究项目进行评分：承担省级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及以上</w:t>
            </w:r>
            <w:r>
              <w:rPr>
                <w:rFonts w:hint="eastAsia" w:ascii="宋体" w:hAnsi="宋体"/>
                <w:color w:val="auto"/>
                <w:sz w:val="24"/>
              </w:rPr>
              <w:t>研究项目的，每个项目得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</w:rPr>
              <w:t>分；承担市级研究项目的，每个项目得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</w:rPr>
              <w:t>分。</w:t>
            </w:r>
          </w:p>
          <w:p>
            <w:pPr>
              <w:widowControl w:val="0"/>
              <w:spacing w:line="240" w:lineRule="auto"/>
              <w:jc w:val="both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注：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 w:val="24"/>
              </w:rPr>
              <w:t>须提供合同扫描件等证明材料。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auto"/>
                <w:sz w:val="24"/>
              </w:rPr>
              <w:t>联合体报价的，联合体各方提供的资料均可得分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  <w:r>
              <w:rPr>
                <w:rFonts w:hint="eastAsia" w:ascii="宋体" w:hAnsi="宋体"/>
                <w:color w:val="auto"/>
                <w:sz w:val="24"/>
              </w:rPr>
              <w:t>该项最高不超过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color w:val="auto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拟投入本项目的项目负责人情况（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负责人具备经济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eastAsia="zh-CN"/>
              </w:rPr>
              <w:t>、法律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或工程类副高级以上职称，否则本项不计分。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br w:type="textWrapping"/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注：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需提供相应证书复印件。联合体报价的，联合体牵头方提供的资料才可得分。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314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color w:val="auto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拟投入本项目的其他技术人员情况（不含项目负责人）（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</w:rPr>
              <w:t>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其他技术人员具有副高级以上职称的，每人得2分；具备中级职称的每人得1分。该项合计最高不超过6分。联合体报价的，联合体各方提供的资料均可得分。</w:t>
            </w:r>
          </w:p>
          <w:p>
            <w:pPr>
              <w:widowControl w:val="0"/>
              <w:spacing w:line="240" w:lineRule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注：</w:t>
            </w:r>
            <w:r>
              <w:rPr>
                <w:rFonts w:hint="eastAsia" w:ascii="宋体" w:hAnsi="宋体"/>
                <w:color w:val="auto"/>
                <w:sz w:val="24"/>
              </w:rPr>
              <w:t>需提供职称证书复印件，否则不得分。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314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价格部</w:t>
            </w:r>
            <w:r>
              <w:rPr>
                <w:rFonts w:ascii="宋体" w:hAnsi="宋体"/>
                <w:color w:val="auto"/>
                <w:sz w:val="24"/>
              </w:rPr>
              <w:t>分</w:t>
            </w:r>
          </w:p>
          <w:p>
            <w:pPr>
              <w:widowControl w:val="0"/>
              <w:spacing w:line="240" w:lineRule="auto"/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（10分）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价格</w:t>
            </w:r>
            <w:r>
              <w:rPr>
                <w:rFonts w:ascii="宋体" w:hAnsi="宋体"/>
                <w:color w:val="auto"/>
                <w:sz w:val="24"/>
              </w:rPr>
              <w:t>得分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（10分）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价格</w:t>
            </w:r>
            <w:r>
              <w:rPr>
                <w:rFonts w:ascii="宋体" w:hAnsi="宋体"/>
                <w:color w:val="auto"/>
                <w:sz w:val="24"/>
              </w:rPr>
              <w:t>得分=</w:t>
            </w:r>
            <w:r>
              <w:rPr>
                <w:rFonts w:hint="eastAsia" w:ascii="宋体" w:hAnsi="宋体"/>
                <w:color w:val="auto"/>
                <w:sz w:val="24"/>
              </w:rPr>
              <w:t>（基准价/报价）*价格评分权重。</w:t>
            </w:r>
          </w:p>
          <w:p>
            <w:pPr>
              <w:widowControl w:val="0"/>
              <w:spacing w:after="120" w:line="240" w:lineRule="auto"/>
              <w:jc w:val="both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说明：取最低报价为基准价。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314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Microsoft JhengHei"/>
                <w:color w:val="auto"/>
                <w:sz w:val="24"/>
              </w:rPr>
            </w:pPr>
            <w:r>
              <w:rPr>
                <w:rFonts w:hint="eastAsia" w:ascii="宋体" w:hAnsi="宋体" w:cs="Microsoft JhengHei"/>
                <w:color w:val="auto"/>
                <w:sz w:val="24"/>
              </w:rPr>
              <w:t>总分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100分</w:t>
            </w:r>
          </w:p>
        </w:tc>
        <w:tc>
          <w:tcPr>
            <w:tcW w:w="9743" w:type="dxa"/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both"/>
              <w:rPr>
                <w:rFonts w:ascii="宋体" w:hAnsi="宋体"/>
                <w:color w:val="auto"/>
                <w:sz w:val="24"/>
              </w:rPr>
            </w:pPr>
          </w:p>
        </w:tc>
      </w:tr>
    </w:tbl>
    <w:p>
      <w:pPr>
        <w:spacing w:line="240" w:lineRule="auto"/>
        <w:rPr>
          <w:rFonts w:hint="eastAsia"/>
          <w:color w:val="auto"/>
          <w:sz w:val="10"/>
          <w:szCs w:val="10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altName w:val="方正书宋_GBK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kNmYzMjNhYzIzMzgxM2E3ZjZmZjMzMWFhY2RlMTIifQ=="/>
  </w:docVars>
  <w:rsids>
    <w:rsidRoot w:val="52274061"/>
    <w:rsid w:val="00005D24"/>
    <w:rsid w:val="000242B9"/>
    <w:rsid w:val="0005686F"/>
    <w:rsid w:val="000A2FD7"/>
    <w:rsid w:val="00101119"/>
    <w:rsid w:val="00110D52"/>
    <w:rsid w:val="00116321"/>
    <w:rsid w:val="001E3ACA"/>
    <w:rsid w:val="001F5A48"/>
    <w:rsid w:val="00200881"/>
    <w:rsid w:val="00210A9F"/>
    <w:rsid w:val="00231BA1"/>
    <w:rsid w:val="00257C3A"/>
    <w:rsid w:val="002E7805"/>
    <w:rsid w:val="003455E0"/>
    <w:rsid w:val="00466429"/>
    <w:rsid w:val="00473210"/>
    <w:rsid w:val="004866A5"/>
    <w:rsid w:val="004A7B42"/>
    <w:rsid w:val="004B4889"/>
    <w:rsid w:val="00535336"/>
    <w:rsid w:val="00541707"/>
    <w:rsid w:val="00574532"/>
    <w:rsid w:val="005770F5"/>
    <w:rsid w:val="006A7D10"/>
    <w:rsid w:val="006B5156"/>
    <w:rsid w:val="006C4875"/>
    <w:rsid w:val="006E479D"/>
    <w:rsid w:val="006F0B94"/>
    <w:rsid w:val="00735B18"/>
    <w:rsid w:val="007B4112"/>
    <w:rsid w:val="007C5A1F"/>
    <w:rsid w:val="007D4A59"/>
    <w:rsid w:val="008A475F"/>
    <w:rsid w:val="009364DA"/>
    <w:rsid w:val="00944C1B"/>
    <w:rsid w:val="00956819"/>
    <w:rsid w:val="00986CCF"/>
    <w:rsid w:val="009B24C4"/>
    <w:rsid w:val="00A225BB"/>
    <w:rsid w:val="00A815FA"/>
    <w:rsid w:val="00A87DA2"/>
    <w:rsid w:val="00AE272C"/>
    <w:rsid w:val="00B6111A"/>
    <w:rsid w:val="00B71A41"/>
    <w:rsid w:val="00B72689"/>
    <w:rsid w:val="00B86168"/>
    <w:rsid w:val="00BA4445"/>
    <w:rsid w:val="00BE6C73"/>
    <w:rsid w:val="00C54E5D"/>
    <w:rsid w:val="00CF0907"/>
    <w:rsid w:val="00D16B94"/>
    <w:rsid w:val="00D22CC9"/>
    <w:rsid w:val="00D42710"/>
    <w:rsid w:val="00D45D4E"/>
    <w:rsid w:val="00D65F09"/>
    <w:rsid w:val="00DA350C"/>
    <w:rsid w:val="00DB4B10"/>
    <w:rsid w:val="00E24C1B"/>
    <w:rsid w:val="00E447D5"/>
    <w:rsid w:val="00E45478"/>
    <w:rsid w:val="00E825AC"/>
    <w:rsid w:val="00EA2D82"/>
    <w:rsid w:val="00EA566C"/>
    <w:rsid w:val="00EB6B1F"/>
    <w:rsid w:val="00F04F65"/>
    <w:rsid w:val="00F103F7"/>
    <w:rsid w:val="00F10FEA"/>
    <w:rsid w:val="00F11D43"/>
    <w:rsid w:val="00FD51DC"/>
    <w:rsid w:val="00FE2488"/>
    <w:rsid w:val="02946D70"/>
    <w:rsid w:val="05102766"/>
    <w:rsid w:val="062F1EAA"/>
    <w:rsid w:val="071F2612"/>
    <w:rsid w:val="0AE04E53"/>
    <w:rsid w:val="0DDB4125"/>
    <w:rsid w:val="10782796"/>
    <w:rsid w:val="11266934"/>
    <w:rsid w:val="13960100"/>
    <w:rsid w:val="18095344"/>
    <w:rsid w:val="1AC83294"/>
    <w:rsid w:val="1AD94463"/>
    <w:rsid w:val="1BD9033E"/>
    <w:rsid w:val="219629E7"/>
    <w:rsid w:val="21E62252"/>
    <w:rsid w:val="23F4608B"/>
    <w:rsid w:val="2A345FCF"/>
    <w:rsid w:val="2BD5553E"/>
    <w:rsid w:val="2D7B4196"/>
    <w:rsid w:val="327318E0"/>
    <w:rsid w:val="33225A98"/>
    <w:rsid w:val="33D73179"/>
    <w:rsid w:val="386C3057"/>
    <w:rsid w:val="3A190FBF"/>
    <w:rsid w:val="3D850525"/>
    <w:rsid w:val="44AB315B"/>
    <w:rsid w:val="467F21AA"/>
    <w:rsid w:val="4F527BE5"/>
    <w:rsid w:val="503840C7"/>
    <w:rsid w:val="52274061"/>
    <w:rsid w:val="535F3A8F"/>
    <w:rsid w:val="539A6875"/>
    <w:rsid w:val="567D422C"/>
    <w:rsid w:val="569E2C8B"/>
    <w:rsid w:val="56B0015D"/>
    <w:rsid w:val="58C92350"/>
    <w:rsid w:val="5B636D33"/>
    <w:rsid w:val="5DCD7847"/>
    <w:rsid w:val="5F463D55"/>
    <w:rsid w:val="61A15272"/>
    <w:rsid w:val="662A2FA1"/>
    <w:rsid w:val="670E33AA"/>
    <w:rsid w:val="688A2F04"/>
    <w:rsid w:val="6EA02086"/>
    <w:rsid w:val="6F1F60BA"/>
    <w:rsid w:val="722C2B09"/>
    <w:rsid w:val="745E5245"/>
    <w:rsid w:val="77BF5FFA"/>
    <w:rsid w:val="78073AFA"/>
    <w:rsid w:val="7C0A73D7"/>
    <w:rsid w:val="7DCEA652"/>
    <w:rsid w:val="EFCEBF36"/>
    <w:rsid w:val="FEF7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200"/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</w:rPr>
  </w:style>
  <w:style w:type="paragraph" w:styleId="4">
    <w:name w:val="Balloon Text"/>
    <w:basedOn w:val="1"/>
    <w:link w:val="13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批注框文本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1231</Words>
  <Characters>1270</Characters>
  <Lines>9</Lines>
  <Paragraphs>2</Paragraphs>
  <TotalTime>0</TotalTime>
  <ScaleCrop>false</ScaleCrop>
  <LinksUpToDate>false</LinksUpToDate>
  <CharactersWithSpaces>1270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2024-05-28T00:58:00Z</dcterms:created>
  <dc:creator>liuch</dc:creator>
  <cp:lastModifiedBy>传入的名字</cp:lastModifiedBy>
  <cp:lastPrinted>2022-09-17T00:37:00Z</cp:lastPrinted>
  <dcterms:modified xsi:type="dcterms:W3CDTF">2024-09-23T15:12:18Z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5E5B92164A274C65865E35BCAF687A10_13</vt:lpwstr>
  </property>
</Properties>
</file>