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7F78">
      <w:pPr>
        <w:pStyle w:val="6"/>
        <w:adjustRightInd w:val="0"/>
        <w:snapToGrid w:val="0"/>
        <w:spacing w:line="240" w:lineRule="auto"/>
        <w:jc w:val="center"/>
        <w:rPr>
          <w:rFonts w:hint="default" w:ascii="方正小标宋简体" w:eastAsia="方正小标宋简体"/>
          <w:bCs/>
          <w:sz w:val="44"/>
        </w:rPr>
      </w:pPr>
      <w:bookmarkStart w:id="0" w:name="标题"/>
      <w:r>
        <w:rPr>
          <w:rFonts w:hint="eastAsia" w:ascii="方正小标宋简体" w:eastAsia="方正小标宋简体"/>
          <w:bCs/>
          <w:sz w:val="44"/>
          <w:highlight w:val="none"/>
        </w:rPr>
        <w:t>广东省交通运输厅关于东莞港沙田港区立沙岛作业区阳鸿石化码头升级改造工程</w:t>
      </w:r>
      <w:bookmarkEnd w:id="0"/>
      <w:r>
        <w:rPr>
          <w:rFonts w:hint="default" w:ascii="方正小标宋简体" w:eastAsia="方正小标宋简体"/>
          <w:bCs/>
          <w:sz w:val="44"/>
        </w:rPr>
        <w:t>航道</w:t>
      </w:r>
    </w:p>
    <w:p w14:paraId="2D7E2C48">
      <w:pPr>
        <w:pStyle w:val="6"/>
        <w:adjustRightInd w:val="0"/>
        <w:snapToGrid w:val="0"/>
        <w:spacing w:line="240" w:lineRule="auto"/>
        <w:jc w:val="center"/>
        <w:rPr>
          <w:rFonts w:ascii="方正小标宋简体" w:eastAsia="方正小标宋简体"/>
          <w:bCs/>
          <w:sz w:val="44"/>
          <w:highlight w:val="none"/>
        </w:rPr>
      </w:pPr>
      <w:r>
        <w:rPr>
          <w:rFonts w:hint="default" w:ascii="方正小标宋简体" w:eastAsia="方正小标宋简体"/>
          <w:bCs/>
          <w:sz w:val="44"/>
        </w:rPr>
        <w:t>通航条件影响评价</w:t>
      </w:r>
      <w:r>
        <w:rPr>
          <w:rFonts w:hint="eastAsia" w:ascii="方正小标宋简体" w:eastAsia="方正小标宋简体"/>
          <w:bCs/>
          <w:sz w:val="44"/>
          <w:lang w:val="en-US" w:eastAsia="zh-CN"/>
        </w:rPr>
        <w:t>的审查意见</w:t>
      </w:r>
      <w:r>
        <w:rPr>
          <w:rFonts w:hint="eastAsia" w:ascii="方正小标宋简体" w:eastAsia="方正小标宋简体"/>
          <w:bCs/>
          <w:sz w:val="44"/>
          <w:highlight w:val="none"/>
        </w:rPr>
        <w:fldChar w:fldCharType="begin"/>
      </w:r>
      <w:r>
        <w:rPr>
          <w:rFonts w:hint="eastAsia" w:ascii="方正小标宋简体" w:eastAsia="方正小标宋简体"/>
          <w:bCs/>
          <w:sz w:val="44"/>
          <w:highlight w:val="none"/>
        </w:rPr>
        <w:instrText xml:space="preserve">DOCVARIABLE "[%Section=man;Common=info;Fields=BiaoTi%]" </w:instrText>
      </w:r>
      <w:r>
        <w:rPr>
          <w:rFonts w:hint="eastAsia" w:ascii="方正小标宋简体" w:eastAsia="方正小标宋简体"/>
          <w:bCs/>
          <w:sz w:val="44"/>
          <w:highlight w:val="none"/>
        </w:rPr>
        <w:fldChar w:fldCharType="end"/>
      </w:r>
    </w:p>
    <w:p w14:paraId="4331D39F">
      <w:pPr>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Fonts w:hint="default" w:ascii="Times New Roman" w:hAnsi="Times New Roman" w:eastAsia="仿宋_GB2312" w:cs="Times New Roman"/>
          <w:kern w:val="2"/>
          <w:sz w:val="32"/>
          <w:szCs w:val="32"/>
        </w:rPr>
      </w:pPr>
      <w:bookmarkStart w:id="1" w:name="Content"/>
      <w:r>
        <w:rPr>
          <w:rFonts w:hint="eastAsia" w:ascii="仿宋_GB2312" w:hAnsi="Times New Roman" w:eastAsia="仿宋_GB2312" w:cs="仿宋_GB2312"/>
          <w:kern w:val="2"/>
          <w:sz w:val="32"/>
          <w:szCs w:val="32"/>
          <w:lang w:val="en-US" w:eastAsia="zh" w:bidi="ar"/>
        </w:rPr>
        <w:t>根据</w:t>
      </w:r>
      <w:r>
        <w:rPr>
          <w:rFonts w:hint="eastAsia" w:ascii="仿宋_GB2312" w:hAnsi="Times New Roman" w:eastAsia="仿宋_GB2312" w:cs="仿宋_GB2312"/>
          <w:kern w:val="2"/>
          <w:sz w:val="32"/>
          <w:szCs w:val="32"/>
          <w:lang w:val="en-US" w:eastAsia="zh-CN" w:bidi="ar"/>
        </w:rPr>
        <w:t>《中华人民共和国航道法》《航道通航条件影响评价审核管理办法》（以下简称《管理办法》）和相关技术标准、规范的规定，经审核，提出如下意见。</w:t>
      </w:r>
    </w:p>
    <w:p w14:paraId="3CAD44D3">
      <w:pPr>
        <w:widowControl w:val="0"/>
        <w:adjustRightInd w:val="0"/>
        <w:snapToGrid w:val="0"/>
        <w:spacing w:line="560" w:lineRule="exact"/>
        <w:ind w:firstLine="640" w:firstLineChars="200"/>
        <w:rPr>
          <w:rFonts w:eastAsia="黑体"/>
          <w:kern w:val="2"/>
          <w:szCs w:val="32"/>
          <w:highlight w:val="none"/>
        </w:rPr>
      </w:pPr>
      <w:r>
        <w:rPr>
          <w:rFonts w:eastAsia="黑体"/>
          <w:kern w:val="2"/>
          <w:szCs w:val="32"/>
          <w:highlight w:val="none"/>
          <w:lang w:bidi="ar"/>
        </w:rPr>
        <w:t>一、工程位置</w:t>
      </w:r>
    </w:p>
    <w:p w14:paraId="31F156CA">
      <w:pPr>
        <w:keepNext w:val="0"/>
        <w:keepLines w:val="0"/>
        <w:widowControl/>
        <w:suppressLineNumbers w:val="0"/>
        <w:ind w:firstLine="640" w:firstLineChars="200"/>
        <w:jc w:val="left"/>
        <w:rPr>
          <w:rFonts w:ascii="仿宋_GB2312" w:cs="仿宋_GB2312"/>
          <w:highlight w:val="none"/>
        </w:rPr>
      </w:pPr>
      <w:r>
        <w:rPr>
          <w:rFonts w:hint="eastAsia"/>
          <w:kern w:val="2"/>
          <w:szCs w:val="32"/>
          <w:highlight w:val="none"/>
          <w:lang w:val="en-US" w:eastAsia="zh-CN" w:bidi="ar"/>
        </w:rPr>
        <w:t>拟</w:t>
      </w:r>
      <w:r>
        <w:rPr>
          <w:rFonts w:hint="eastAsia"/>
          <w:kern w:val="2"/>
          <w:szCs w:val="32"/>
          <w:lang w:val="en-US" w:eastAsia="zh-CN" w:bidi="ar"/>
        </w:rPr>
        <w:t>升级</w:t>
      </w:r>
      <w:r>
        <w:rPr>
          <w:rFonts w:hint="eastAsia"/>
          <w:kern w:val="2"/>
          <w:szCs w:val="32"/>
          <w:highlight w:val="none"/>
          <w:lang w:val="en-US" w:eastAsia="zh-CN" w:bidi="ar"/>
        </w:rPr>
        <w:t>改造工程位于东莞港沙田港区立沙岛作业区，广州港出海航道东岸，东莞同舟码头和鸿源码头之间。根据《海轮航道通航标准》（JTS180-3-2018），工程海域宽阔，海床稳定，拟建工程</w:t>
      </w:r>
      <w:r>
        <w:rPr>
          <w:rFonts w:hint="eastAsia" w:ascii="仿宋_GB2312" w:hAnsi="仿宋_GB2312" w:cs="仿宋_GB2312"/>
          <w:highlight w:val="none"/>
          <w:lang w:val="en-US" w:eastAsia="zh-CN" w:bidi="ar"/>
        </w:rPr>
        <w:t>存在与相邻锚地距离较近的情况，</w:t>
      </w:r>
      <w:r>
        <w:rPr>
          <w:rFonts w:hint="eastAsia" w:ascii="仿宋_GB2312" w:hAnsi="仿宋_GB2312" w:cs="仿宋_GB2312"/>
          <w:highlight w:val="none"/>
          <w:lang w:bidi="ar"/>
        </w:rPr>
        <w:t>在做好相关</w:t>
      </w:r>
      <w:r>
        <w:rPr>
          <w:rFonts w:hint="eastAsia" w:ascii="仿宋_GB2312" w:hAnsi="仿宋_GB2312" w:cs="仿宋_GB2312"/>
          <w:highlight w:val="none"/>
          <w:lang w:val="en-US" w:eastAsia="zh-CN" w:bidi="ar"/>
        </w:rPr>
        <w:t>保障措施</w:t>
      </w:r>
      <w:r>
        <w:rPr>
          <w:rFonts w:hint="eastAsia" w:ascii="仿宋_GB2312" w:hAnsi="仿宋_GB2312" w:cs="仿宋_GB2312"/>
          <w:highlight w:val="none"/>
          <w:lang w:bidi="ar"/>
        </w:rPr>
        <w:t>的前提下，</w:t>
      </w:r>
      <w:r>
        <w:rPr>
          <w:rFonts w:hint="eastAsia"/>
          <w:kern w:val="2"/>
          <w:szCs w:val="32"/>
          <w:highlight w:val="none"/>
          <w:lang w:val="en-US" w:eastAsia="zh-CN" w:bidi="ar"/>
        </w:rPr>
        <w:t>工程选址符合规范等要求。</w:t>
      </w:r>
    </w:p>
    <w:p w14:paraId="31500878">
      <w:pPr>
        <w:widowControl w:val="0"/>
        <w:adjustRightInd w:val="0"/>
        <w:snapToGrid w:val="0"/>
        <w:spacing w:line="560" w:lineRule="exact"/>
        <w:ind w:firstLine="640" w:firstLineChars="200"/>
        <w:rPr>
          <w:kern w:val="2"/>
          <w:szCs w:val="32"/>
          <w:highlight w:val="none"/>
        </w:rPr>
      </w:pPr>
      <w:r>
        <w:rPr>
          <w:rFonts w:eastAsia="黑体"/>
          <w:kern w:val="2"/>
          <w:szCs w:val="32"/>
          <w:highlight w:val="none"/>
          <w:lang w:bidi="ar"/>
        </w:rPr>
        <w:t>二、通航尺度和技术要求</w:t>
      </w:r>
    </w:p>
    <w:p w14:paraId="5600AAAB">
      <w:pPr>
        <w:keepNext w:val="0"/>
        <w:keepLines w:val="0"/>
        <w:widowControl/>
        <w:suppressLineNumbers w:val="0"/>
        <w:ind w:firstLine="640" w:firstLineChars="200"/>
        <w:jc w:val="left"/>
        <w:rPr>
          <w:rFonts w:hint="eastAsia" w:ascii="仿宋_GB2312" w:hAnsi="Times New Roman" w:cs="仿宋_GB2312"/>
          <w:kern w:val="2"/>
          <w:szCs w:val="32"/>
          <w:highlight w:val="none"/>
          <w:lang w:bidi="ar"/>
        </w:rPr>
      </w:pPr>
      <w:r>
        <w:rPr>
          <w:kern w:val="2"/>
          <w:szCs w:val="32"/>
          <w:highlight w:val="none"/>
          <w:lang w:bidi="ar"/>
        </w:rPr>
        <w:t>根据《广东省航道发展规划（2020-2035年）》，工程</w:t>
      </w:r>
      <w:r>
        <w:rPr>
          <w:rFonts w:hint="eastAsia"/>
          <w:kern w:val="2"/>
          <w:szCs w:val="32"/>
          <w:highlight w:val="none"/>
          <w:lang w:bidi="ar"/>
        </w:rPr>
        <w:t>所处广州港出海航道北段</w:t>
      </w:r>
      <w:r>
        <w:rPr>
          <w:rFonts w:hint="eastAsia"/>
          <w:kern w:val="2"/>
          <w:szCs w:val="32"/>
          <w:highlight w:val="none"/>
          <w:lang w:val="en-US" w:eastAsia="zh-CN" w:bidi="ar"/>
        </w:rPr>
        <w:t>的现状及</w:t>
      </w:r>
      <w:r>
        <w:rPr>
          <w:rFonts w:hint="eastAsia" w:ascii="仿宋_GB2312" w:hAnsi="仿宋_GB2312" w:eastAsia="仿宋_GB2312" w:cs="仿宋_GB2312"/>
          <w:kern w:val="2"/>
          <w:sz w:val="32"/>
          <w:szCs w:val="32"/>
          <w:highlight w:val="none"/>
          <w:lang w:val="en-US" w:eastAsia="zh-CN" w:bidi="ar-SA"/>
        </w:rPr>
        <w:t>发展规划技术</w:t>
      </w:r>
      <w:r>
        <w:rPr>
          <w:rFonts w:hint="eastAsia"/>
          <w:kern w:val="2"/>
          <w:szCs w:val="32"/>
          <w:highlight w:val="none"/>
          <w:lang w:val="en-US" w:eastAsia="zh-CN" w:bidi="ar"/>
        </w:rPr>
        <w:t>等级分别为</w:t>
      </w:r>
      <w:r>
        <w:rPr>
          <w:rFonts w:hint="eastAsia" w:ascii="仿宋_GB2312" w:hAnsi="仿宋_GB2312" w:cs="仿宋_GB2312"/>
          <w:kern w:val="2"/>
          <w:sz w:val="32"/>
          <w:szCs w:val="32"/>
          <w:highlight w:val="none"/>
          <w:lang w:val="en-US" w:eastAsia="zh-CN" w:bidi="ar-SA"/>
        </w:rPr>
        <w:t>5万吨级船舶乘潮、10万吨级</w:t>
      </w:r>
      <w:r>
        <w:rPr>
          <w:rFonts w:hint="eastAsia"/>
          <w:kern w:val="2"/>
          <w:szCs w:val="32"/>
          <w:highlight w:val="none"/>
          <w:lang w:val="en-US" w:eastAsia="zh-CN" w:bidi="ar"/>
        </w:rPr>
        <w:t>。</w:t>
      </w:r>
      <w:r>
        <w:rPr>
          <w:rFonts w:hint="eastAsia"/>
          <w:kern w:val="2"/>
          <w:szCs w:val="32"/>
          <w:lang w:bidi="ar"/>
        </w:rPr>
        <w:t>拟</w:t>
      </w:r>
      <w:r>
        <w:rPr>
          <w:rFonts w:hint="eastAsia"/>
          <w:kern w:val="2"/>
          <w:szCs w:val="32"/>
          <w:lang w:val="en-US" w:eastAsia="zh-CN" w:bidi="ar"/>
        </w:rPr>
        <w:t>升级</w:t>
      </w:r>
      <w:r>
        <w:rPr>
          <w:rFonts w:hint="eastAsia"/>
          <w:kern w:val="2"/>
          <w:szCs w:val="32"/>
          <w:lang w:bidi="ar"/>
        </w:rPr>
        <w:t>改造码头利用</w:t>
      </w:r>
      <w:r>
        <w:rPr>
          <w:rFonts w:hint="eastAsia"/>
          <w:kern w:val="2"/>
          <w:szCs w:val="32"/>
          <w:lang w:val="en-US" w:eastAsia="zh-CN" w:bidi="ar"/>
        </w:rPr>
        <w:t>原码头</w:t>
      </w:r>
      <w:r>
        <w:rPr>
          <w:rFonts w:hint="eastAsia"/>
          <w:kern w:val="2"/>
          <w:szCs w:val="32"/>
          <w:lang w:bidi="ar"/>
        </w:rPr>
        <w:t>岸线顺岸布置</w:t>
      </w:r>
      <w:r>
        <w:rPr>
          <w:rFonts w:hint="eastAsia"/>
          <w:kern w:val="2"/>
          <w:szCs w:val="32"/>
          <w:lang w:val="en-US" w:eastAsia="zh-CN" w:bidi="ar"/>
        </w:rPr>
        <w:t>1</w:t>
      </w:r>
      <w:r>
        <w:rPr>
          <w:rFonts w:hint="eastAsia"/>
          <w:kern w:val="2"/>
          <w:szCs w:val="32"/>
          <w:lang w:bidi="ar"/>
        </w:rPr>
        <w:t>个</w:t>
      </w:r>
      <w:r>
        <w:rPr>
          <w:rFonts w:hint="eastAsia"/>
          <w:kern w:val="2"/>
          <w:szCs w:val="32"/>
          <w:lang w:val="en-US" w:eastAsia="zh-CN" w:bidi="ar"/>
        </w:rPr>
        <w:t>5万</w:t>
      </w:r>
      <w:r>
        <w:rPr>
          <w:rFonts w:hint="eastAsia"/>
          <w:kern w:val="2"/>
          <w:szCs w:val="32"/>
          <w:lang w:bidi="ar"/>
        </w:rPr>
        <w:t>吨级泊位，保留原码头</w:t>
      </w:r>
      <w:r>
        <w:rPr>
          <w:rFonts w:hint="eastAsia"/>
          <w:kern w:val="2"/>
          <w:szCs w:val="32"/>
          <w:lang w:val="en-US" w:eastAsia="zh-CN" w:bidi="ar"/>
        </w:rPr>
        <w:t>高桩梁板式</w:t>
      </w:r>
      <w:r>
        <w:rPr>
          <w:rFonts w:hint="eastAsia"/>
          <w:kern w:val="2"/>
          <w:szCs w:val="32"/>
          <w:lang w:bidi="ar"/>
        </w:rPr>
        <w:t>结构</w:t>
      </w:r>
      <w:r>
        <w:rPr>
          <w:rFonts w:hint="eastAsia"/>
          <w:kern w:val="2"/>
          <w:szCs w:val="32"/>
          <w:lang w:eastAsia="zh-CN" w:bidi="ar"/>
        </w:rPr>
        <w:t>，</w:t>
      </w:r>
      <w:r>
        <w:rPr>
          <w:rFonts w:hint="eastAsia"/>
          <w:kern w:val="2"/>
          <w:szCs w:val="32"/>
          <w:lang w:bidi="ar"/>
        </w:rPr>
        <w:t>泊</w:t>
      </w:r>
      <w:r>
        <w:rPr>
          <w:rFonts w:hint="eastAsia"/>
          <w:kern w:val="2"/>
          <w:szCs w:val="32"/>
          <w:highlight w:val="none"/>
          <w:lang w:bidi="ar"/>
        </w:rPr>
        <w:t>位长</w:t>
      </w:r>
      <w:r>
        <w:rPr>
          <w:rFonts w:hint="eastAsia"/>
          <w:kern w:val="2"/>
          <w:szCs w:val="32"/>
          <w:highlight w:val="none"/>
          <w:lang w:val="en-US" w:eastAsia="zh-CN" w:bidi="ar"/>
        </w:rPr>
        <w:t>331</w:t>
      </w:r>
      <w:r>
        <w:rPr>
          <w:rFonts w:hint="eastAsia"/>
          <w:kern w:val="2"/>
          <w:szCs w:val="32"/>
          <w:highlight w:val="none"/>
          <w:lang w:bidi="ar"/>
        </w:rPr>
        <w:t>米</w:t>
      </w:r>
      <w:r>
        <w:rPr>
          <w:rFonts w:hint="eastAsia"/>
          <w:kern w:val="2"/>
          <w:szCs w:val="32"/>
          <w:lang w:bidi="ar"/>
        </w:rPr>
        <w:t>，停泊水域宽</w:t>
      </w:r>
      <w:r>
        <w:rPr>
          <w:rFonts w:hint="eastAsia"/>
          <w:kern w:val="2"/>
          <w:szCs w:val="32"/>
          <w:lang w:val="en-US" w:eastAsia="zh-CN" w:bidi="ar"/>
        </w:rPr>
        <w:t>65</w:t>
      </w:r>
      <w:r>
        <w:rPr>
          <w:rFonts w:hint="eastAsia"/>
          <w:kern w:val="2"/>
          <w:szCs w:val="32"/>
          <w:lang w:bidi="ar"/>
        </w:rPr>
        <w:t>米</w:t>
      </w:r>
      <w:r>
        <w:rPr>
          <w:rFonts w:hint="eastAsia"/>
          <w:kern w:val="2"/>
          <w:szCs w:val="32"/>
          <w:lang w:eastAsia="zh-CN" w:bidi="ar"/>
        </w:rPr>
        <w:t>；</w:t>
      </w:r>
      <w:r>
        <w:rPr>
          <w:rFonts w:hint="eastAsia"/>
          <w:kern w:val="2"/>
          <w:szCs w:val="32"/>
          <w:lang w:bidi="ar"/>
        </w:rPr>
        <w:t>回旋水域呈椭圆形布置在停泊水域</w:t>
      </w:r>
      <w:r>
        <w:rPr>
          <w:rFonts w:hint="eastAsia"/>
          <w:kern w:val="2"/>
          <w:szCs w:val="32"/>
          <w:lang w:val="en-US" w:eastAsia="zh-CN" w:bidi="ar"/>
        </w:rPr>
        <w:t>正</w:t>
      </w:r>
      <w:r>
        <w:rPr>
          <w:rFonts w:hint="eastAsia"/>
          <w:kern w:val="2"/>
          <w:szCs w:val="32"/>
          <w:lang w:bidi="ar"/>
        </w:rPr>
        <w:t>前方，顺水流方向长为</w:t>
      </w:r>
      <w:r>
        <w:rPr>
          <w:rFonts w:hint="eastAsia"/>
          <w:kern w:val="2"/>
          <w:szCs w:val="32"/>
          <w:lang w:val="en-US" w:eastAsia="zh-CN" w:bidi="ar"/>
        </w:rPr>
        <w:t>572.5</w:t>
      </w:r>
      <w:r>
        <w:rPr>
          <w:rFonts w:hint="eastAsia"/>
          <w:kern w:val="2"/>
          <w:szCs w:val="32"/>
          <w:lang w:bidi="ar"/>
        </w:rPr>
        <w:t>米，垂直水流方向长为</w:t>
      </w:r>
      <w:r>
        <w:rPr>
          <w:rFonts w:hint="eastAsia"/>
          <w:kern w:val="2"/>
          <w:szCs w:val="32"/>
          <w:lang w:val="en-US" w:eastAsia="zh-CN" w:bidi="ar"/>
        </w:rPr>
        <w:t>343.5</w:t>
      </w:r>
      <w:r>
        <w:rPr>
          <w:rFonts w:hint="eastAsia"/>
          <w:kern w:val="2"/>
          <w:szCs w:val="32"/>
          <w:lang w:bidi="ar"/>
        </w:rPr>
        <w:t>米</w:t>
      </w:r>
      <w:r>
        <w:rPr>
          <w:rFonts w:hint="eastAsia"/>
          <w:kern w:val="2"/>
          <w:szCs w:val="32"/>
          <w:lang w:eastAsia="zh-CN" w:bidi="ar"/>
        </w:rPr>
        <w:t>，</w:t>
      </w:r>
      <w:r>
        <w:rPr>
          <w:rFonts w:hint="eastAsia"/>
          <w:kern w:val="2"/>
          <w:szCs w:val="32"/>
          <w:lang w:val="en-US" w:eastAsia="zh-CN" w:bidi="ar"/>
        </w:rPr>
        <w:t>回旋水域通过支航道与广州港出海航道相连；</w:t>
      </w:r>
      <w:r>
        <w:rPr>
          <w:rFonts w:hint="eastAsia"/>
          <w:kern w:val="2"/>
          <w:szCs w:val="32"/>
          <w:highlight w:val="none"/>
          <w:lang w:bidi="ar"/>
        </w:rPr>
        <w:t>码头前沿线与航道</w:t>
      </w:r>
      <w:r>
        <w:rPr>
          <w:rFonts w:hint="eastAsia"/>
          <w:kern w:val="2"/>
          <w:szCs w:val="32"/>
          <w:highlight w:val="none"/>
          <w:lang w:val="en-US" w:eastAsia="zh-CN" w:bidi="ar"/>
        </w:rPr>
        <w:t>边线</w:t>
      </w:r>
      <w:r>
        <w:rPr>
          <w:rFonts w:hint="eastAsia"/>
          <w:kern w:val="2"/>
          <w:szCs w:val="32"/>
          <w:highlight w:val="none"/>
          <w:lang w:bidi="ar"/>
        </w:rPr>
        <w:t>最小距离约</w:t>
      </w:r>
      <w:r>
        <w:rPr>
          <w:rFonts w:hint="eastAsia"/>
          <w:kern w:val="2"/>
          <w:szCs w:val="32"/>
          <w:highlight w:val="none"/>
          <w:lang w:val="en-US" w:eastAsia="zh-CN" w:bidi="ar"/>
        </w:rPr>
        <w:t>880</w:t>
      </w:r>
      <w:r>
        <w:rPr>
          <w:rFonts w:hint="eastAsia"/>
          <w:kern w:val="2"/>
          <w:szCs w:val="32"/>
          <w:highlight w:val="none"/>
          <w:lang w:bidi="ar"/>
        </w:rPr>
        <w:t>米，停泊水域</w:t>
      </w:r>
      <w:r>
        <w:rPr>
          <w:rFonts w:hint="eastAsia"/>
          <w:kern w:val="2"/>
          <w:szCs w:val="32"/>
          <w:highlight w:val="none"/>
          <w:lang w:val="en-US" w:eastAsia="zh-CN" w:bidi="ar"/>
        </w:rPr>
        <w:t>与</w:t>
      </w:r>
      <w:r>
        <w:rPr>
          <w:rFonts w:hint="eastAsia"/>
          <w:kern w:val="2"/>
          <w:szCs w:val="32"/>
          <w:highlight w:val="none"/>
          <w:lang w:bidi="ar"/>
        </w:rPr>
        <w:t>航道边线最小距离约</w:t>
      </w:r>
      <w:r>
        <w:rPr>
          <w:rFonts w:hint="eastAsia"/>
          <w:kern w:val="2"/>
          <w:szCs w:val="32"/>
          <w:highlight w:val="none"/>
          <w:lang w:val="en-US" w:eastAsia="zh-CN" w:bidi="ar"/>
        </w:rPr>
        <w:t>775</w:t>
      </w:r>
      <w:r>
        <w:rPr>
          <w:rFonts w:hint="eastAsia"/>
          <w:kern w:val="2"/>
          <w:szCs w:val="32"/>
          <w:highlight w:val="none"/>
          <w:lang w:bidi="ar"/>
        </w:rPr>
        <w:t>米</w:t>
      </w:r>
      <w:r>
        <w:rPr>
          <w:rFonts w:hint="eastAsia"/>
          <w:kern w:val="2"/>
          <w:szCs w:val="32"/>
          <w:highlight w:val="none"/>
          <w:lang w:eastAsia="zh-CN" w:bidi="ar"/>
        </w:rPr>
        <w:t>，</w:t>
      </w:r>
      <w:r>
        <w:rPr>
          <w:rFonts w:hint="eastAsia"/>
          <w:kern w:val="2"/>
          <w:szCs w:val="32"/>
          <w:highlight w:val="none"/>
          <w:lang w:val="en-US" w:eastAsia="zh-CN" w:bidi="ar"/>
        </w:rPr>
        <w:t>回旋</w:t>
      </w:r>
      <w:r>
        <w:rPr>
          <w:rFonts w:hint="eastAsia"/>
          <w:kern w:val="2"/>
          <w:szCs w:val="32"/>
          <w:highlight w:val="none"/>
          <w:lang w:bidi="ar"/>
        </w:rPr>
        <w:t>水域</w:t>
      </w:r>
      <w:r>
        <w:rPr>
          <w:rFonts w:hint="eastAsia"/>
          <w:kern w:val="2"/>
          <w:szCs w:val="32"/>
          <w:highlight w:val="none"/>
          <w:lang w:val="en-US" w:eastAsia="zh-CN" w:bidi="ar"/>
        </w:rPr>
        <w:t>与</w:t>
      </w:r>
      <w:r>
        <w:rPr>
          <w:rFonts w:hint="eastAsia"/>
          <w:kern w:val="2"/>
          <w:szCs w:val="32"/>
          <w:highlight w:val="none"/>
          <w:lang w:bidi="ar"/>
        </w:rPr>
        <w:t>航道边线最小距离约</w:t>
      </w:r>
      <w:r>
        <w:rPr>
          <w:rFonts w:hint="eastAsia"/>
          <w:kern w:val="2"/>
          <w:szCs w:val="32"/>
          <w:highlight w:val="none"/>
          <w:lang w:val="en-US" w:eastAsia="zh-CN" w:bidi="ar"/>
        </w:rPr>
        <w:t>520</w:t>
      </w:r>
      <w:r>
        <w:rPr>
          <w:rFonts w:hint="eastAsia"/>
          <w:kern w:val="2"/>
          <w:szCs w:val="32"/>
          <w:highlight w:val="none"/>
          <w:lang w:bidi="ar"/>
        </w:rPr>
        <w:t>米</w:t>
      </w:r>
      <w:r>
        <w:rPr>
          <w:rFonts w:hint="eastAsia"/>
          <w:kern w:val="2"/>
          <w:szCs w:val="32"/>
          <w:highlight w:val="none"/>
          <w:lang w:val="en-US" w:eastAsia="zh-CN" w:bidi="ar"/>
        </w:rPr>
        <w:t>。</w:t>
      </w:r>
      <w:r>
        <w:rPr>
          <w:rFonts w:hint="eastAsia"/>
          <w:kern w:val="2"/>
          <w:szCs w:val="32"/>
          <w:highlight w:val="none"/>
          <w:lang w:bidi="ar"/>
        </w:rPr>
        <w:t>根据《东莞港沙田港区立沙岛作业区阳鸿石化码头升级改造工程航道通航条件影响评价报告》（以下简称《航评报告》）关于拟</w:t>
      </w:r>
      <w:r>
        <w:rPr>
          <w:rFonts w:hint="eastAsia"/>
          <w:kern w:val="2"/>
          <w:szCs w:val="32"/>
          <w:highlight w:val="none"/>
          <w:lang w:val="en-US" w:eastAsia="zh-CN" w:bidi="ar"/>
        </w:rPr>
        <w:t>改造</w:t>
      </w:r>
      <w:r>
        <w:rPr>
          <w:rFonts w:hint="eastAsia"/>
          <w:kern w:val="2"/>
          <w:szCs w:val="32"/>
          <w:highlight w:val="none"/>
          <w:lang w:bidi="ar"/>
        </w:rPr>
        <w:t>工程对航道通航条件影响的评价结论，其建设对航道水流条件和河床演变影响较小</w:t>
      </w:r>
      <w:r>
        <w:rPr>
          <w:rFonts w:hint="eastAsia"/>
          <w:kern w:val="2"/>
          <w:szCs w:val="32"/>
          <w:highlight w:val="none"/>
          <w:lang w:eastAsia="zh-CN" w:bidi="ar"/>
        </w:rPr>
        <w:t>。</w:t>
      </w:r>
      <w:r>
        <w:rPr>
          <w:rFonts w:hint="eastAsia" w:ascii="仿宋_GB2312" w:hAnsi="Times New Roman" w:cs="仿宋_GB2312"/>
          <w:kern w:val="2"/>
          <w:szCs w:val="32"/>
          <w:highlight w:val="none"/>
          <w:lang w:bidi="ar"/>
        </w:rPr>
        <w:t>根据</w:t>
      </w:r>
      <w:r>
        <w:rPr>
          <w:rFonts w:hint="eastAsia"/>
          <w:highlight w:val="none"/>
        </w:rPr>
        <w:t>《航评报告》分析论证，并征询有关部门的意见，</w:t>
      </w:r>
      <w:r>
        <w:rPr>
          <w:rFonts w:hint="eastAsia" w:ascii="仿宋_GB2312" w:hAnsi="Times New Roman" w:cs="仿宋_GB2312"/>
          <w:kern w:val="2"/>
          <w:szCs w:val="32"/>
          <w:highlight w:val="none"/>
          <w:lang w:bidi="ar"/>
        </w:rPr>
        <w:t>在落实提出的相关措施的前提下，</w:t>
      </w:r>
      <w:r>
        <w:rPr>
          <w:rFonts w:hint="eastAsia" w:ascii="仿宋_GB2312" w:cs="仿宋_GB2312"/>
          <w:kern w:val="2"/>
          <w:szCs w:val="32"/>
          <w:highlight w:val="none"/>
          <w:lang w:val="en-US" w:eastAsia="zh-CN" w:bidi="ar"/>
        </w:rPr>
        <w:t>工程</w:t>
      </w:r>
      <w:r>
        <w:rPr>
          <w:rFonts w:hint="eastAsia" w:ascii="仿宋_GB2312" w:hAnsi="Times New Roman" w:cs="仿宋_GB2312"/>
          <w:kern w:val="2"/>
          <w:szCs w:val="32"/>
          <w:highlight w:val="none"/>
          <w:lang w:bidi="ar"/>
        </w:rPr>
        <w:t>对航道通航条件影响可控。</w:t>
      </w:r>
    </w:p>
    <w:p w14:paraId="75B33CBD">
      <w:pPr>
        <w:widowControl w:val="0"/>
        <w:adjustRightInd w:val="0"/>
        <w:snapToGrid w:val="0"/>
        <w:spacing w:line="560" w:lineRule="exact"/>
        <w:ind w:firstLine="640" w:firstLineChars="200"/>
        <w:rPr>
          <w:rFonts w:eastAsia="黑体"/>
          <w:kern w:val="2"/>
          <w:szCs w:val="32"/>
          <w:highlight w:val="none"/>
        </w:rPr>
      </w:pPr>
      <w:r>
        <w:rPr>
          <w:rFonts w:eastAsia="黑体"/>
          <w:kern w:val="2"/>
          <w:szCs w:val="32"/>
          <w:highlight w:val="none"/>
          <w:lang w:bidi="ar"/>
        </w:rPr>
        <w:t>三、航道通航安全保障措施</w:t>
      </w:r>
    </w:p>
    <w:p w14:paraId="2E9BE163">
      <w:pPr>
        <w:widowControl w:val="0"/>
        <w:spacing w:line="560" w:lineRule="exact"/>
        <w:ind w:firstLine="640" w:firstLineChars="200"/>
        <w:rPr>
          <w:rFonts w:hint="eastAsia"/>
          <w:szCs w:val="32"/>
          <w:highlight w:val="none"/>
          <w:lang w:bidi="ar"/>
        </w:rPr>
      </w:pPr>
      <w:r>
        <w:rPr>
          <w:szCs w:val="32"/>
          <w:highlight w:val="none"/>
          <w:lang w:bidi="ar"/>
        </w:rPr>
        <w:t>（一）</w:t>
      </w:r>
      <w:r>
        <w:rPr>
          <w:rFonts w:hint="eastAsia"/>
          <w:szCs w:val="32"/>
          <w:highlight w:val="none"/>
          <w:lang w:bidi="ar"/>
        </w:rPr>
        <w:t>《航评报告》提出的航道通航安全保障措施总体得当。建设及管理单位应按国家有关规定和技术要求设置助航和安全警示标志，并配套建设必要的维护及安全保障设施，保证与本工程同步建设。</w:t>
      </w:r>
    </w:p>
    <w:p w14:paraId="5B2AAB4D">
      <w:pPr>
        <w:widowControl w:val="0"/>
        <w:spacing w:line="560" w:lineRule="exact"/>
        <w:ind w:firstLine="640" w:firstLineChars="200"/>
        <w:rPr>
          <w:rFonts w:hint="eastAsia"/>
          <w:szCs w:val="32"/>
          <w:highlight w:val="none"/>
          <w:lang w:bidi="ar"/>
        </w:rPr>
      </w:pPr>
      <w:r>
        <w:rPr>
          <w:rFonts w:hint="eastAsia" w:ascii="仿宋_GB2312" w:hAnsi="仿宋_GB2312" w:cs="仿宋_GB2312"/>
          <w:highlight w:val="none"/>
        </w:rPr>
        <w:t>（二）</w:t>
      </w:r>
      <w:r>
        <w:rPr>
          <w:rFonts w:hint="eastAsia" w:ascii="仿宋_GB2312" w:hAnsi="Times New Roman" w:cs="仿宋_GB2312"/>
          <w:kern w:val="2"/>
          <w:szCs w:val="32"/>
          <w:highlight w:val="none"/>
          <w:lang w:bidi="ar"/>
        </w:rPr>
        <w:t>根据《</w:t>
      </w:r>
      <w:r>
        <w:rPr>
          <w:rFonts w:hint="eastAsia" w:ascii="仿宋_GB2312" w:cs="仿宋_GB2312"/>
          <w:kern w:val="2"/>
          <w:szCs w:val="32"/>
          <w:highlight w:val="none"/>
          <w:lang w:val="en-US" w:eastAsia="zh-CN" w:bidi="ar"/>
        </w:rPr>
        <w:t>航评报告</w:t>
      </w:r>
      <w:r>
        <w:rPr>
          <w:rFonts w:hint="eastAsia" w:ascii="仿宋_GB2312" w:hAnsi="Times New Roman" w:cs="仿宋_GB2312"/>
          <w:kern w:val="2"/>
          <w:szCs w:val="32"/>
          <w:highlight w:val="none"/>
          <w:lang w:bidi="ar"/>
        </w:rPr>
        <w:t>》，</w:t>
      </w:r>
      <w:r>
        <w:rPr>
          <w:rFonts w:hint="eastAsia" w:ascii="仿宋_GB2312" w:hAnsi="Times New Roman" w:cs="仿宋_GB2312"/>
          <w:kern w:val="2"/>
          <w:sz w:val="32"/>
          <w:szCs w:val="32"/>
          <w:lang w:val="en-US" w:eastAsia="zh-CN" w:bidi="ar"/>
        </w:rPr>
        <w:t>本工程</w:t>
      </w:r>
      <w:r>
        <w:rPr>
          <w:rFonts w:hint="default" w:ascii="仿宋_GB2312" w:hAnsi="Times New Roman" w:eastAsia="仿宋_GB2312" w:cs="仿宋_GB2312"/>
          <w:kern w:val="2"/>
          <w:sz w:val="32"/>
          <w:szCs w:val="32"/>
          <w:lang w:val="en-US" w:eastAsia="zh-CN" w:bidi="ar"/>
        </w:rPr>
        <w:t>与</w:t>
      </w:r>
      <w:r>
        <w:rPr>
          <w:rFonts w:hint="eastAsia" w:ascii="仿宋_GB2312" w:hAnsi="Times New Roman" w:cs="仿宋_GB2312"/>
          <w:kern w:val="2"/>
          <w:sz w:val="32"/>
          <w:szCs w:val="32"/>
          <w:lang w:val="en-US" w:eastAsia="zh-CN" w:bidi="ar"/>
        </w:rPr>
        <w:t>广州市港务局管理的81NZ、82NZ锚地平面最小距离</w:t>
      </w:r>
      <w:r>
        <w:rPr>
          <w:rFonts w:hint="eastAsia" w:ascii="仿宋_GB2312" w:cs="仿宋_GB2312"/>
          <w:kern w:val="2"/>
          <w:sz w:val="32"/>
          <w:szCs w:val="32"/>
          <w:lang w:val="en-US" w:eastAsia="zh" w:bidi="ar"/>
        </w:rPr>
        <w:t>及与</w:t>
      </w:r>
      <w:r>
        <w:rPr>
          <w:rFonts w:hint="eastAsia" w:ascii="仿宋_GB2312" w:hAnsi="Times New Roman" w:cs="仿宋_GB2312"/>
          <w:kern w:val="2"/>
          <w:sz w:val="32"/>
          <w:szCs w:val="32"/>
          <w:lang w:val="en-US" w:eastAsia="zh-CN" w:bidi="ar"/>
        </w:rPr>
        <w:t>《东莞港总体规划（2020-2035）》中</w:t>
      </w:r>
      <w:bookmarkStart w:id="2" w:name="_GoBack"/>
      <w:bookmarkEnd w:id="2"/>
      <w:r>
        <w:rPr>
          <w:rFonts w:hint="eastAsia" w:ascii="仿宋_GB2312" w:hAnsi="Times New Roman" w:cs="仿宋_GB2312"/>
          <w:kern w:val="2"/>
          <w:sz w:val="32"/>
          <w:szCs w:val="32"/>
          <w:lang w:val="en-US" w:eastAsia="zh-CN" w:bidi="ar"/>
        </w:rPr>
        <w:t>的立沙岛锚地平面最小距离不满足</w:t>
      </w:r>
      <w:r>
        <w:rPr>
          <w:rFonts w:hint="eastAsia" w:ascii="仿宋_GB2312" w:cs="仿宋_GB2312"/>
          <w:kern w:val="2"/>
          <w:sz w:val="32"/>
          <w:szCs w:val="32"/>
          <w:lang w:val="en-US" w:eastAsia="zh" w:bidi="ar"/>
        </w:rPr>
        <w:t>现行</w:t>
      </w:r>
      <w:r>
        <w:rPr>
          <w:rFonts w:hint="eastAsia" w:ascii="仿宋_GB2312" w:hAnsi="Times New Roman" w:cs="仿宋_GB2312"/>
          <w:kern w:val="2"/>
          <w:sz w:val="32"/>
          <w:szCs w:val="32"/>
          <w:lang w:val="en-US" w:eastAsia="zh-CN" w:bidi="ar"/>
        </w:rPr>
        <w:t>《海港总体设计规范》要求，</w:t>
      </w:r>
      <w:r>
        <w:rPr>
          <w:rFonts w:hint="eastAsia" w:ascii="仿宋_GB2312" w:hAnsi="Times New Roman" w:cs="仿宋_GB2312"/>
          <w:kern w:val="2"/>
          <w:szCs w:val="32"/>
          <w:highlight w:val="none"/>
          <w:lang w:bidi="ar"/>
        </w:rPr>
        <w:t>建设单位应落实报告提出的通航安全管理维护的相关建议和措施，积极与当地交通、港口、航道、海事等有关部门协调，加强对拟建</w:t>
      </w:r>
      <w:r>
        <w:rPr>
          <w:rFonts w:hint="eastAsia" w:ascii="仿宋_GB2312" w:cs="仿宋_GB2312"/>
          <w:kern w:val="2"/>
          <w:szCs w:val="32"/>
          <w:highlight w:val="none"/>
          <w:lang w:val="en-US" w:eastAsia="zh-CN" w:bidi="ar"/>
        </w:rPr>
        <w:t>码头</w:t>
      </w:r>
      <w:r>
        <w:rPr>
          <w:rFonts w:hint="eastAsia" w:ascii="仿宋_GB2312" w:hAnsi="Times New Roman" w:cs="仿宋_GB2312"/>
          <w:kern w:val="2"/>
          <w:szCs w:val="32"/>
          <w:highlight w:val="none"/>
          <w:lang w:bidi="ar"/>
        </w:rPr>
        <w:t>、附近锚地及水域的涉航安全管理。</w:t>
      </w:r>
      <w:r>
        <w:rPr>
          <w:rFonts w:hint="eastAsia" w:ascii="仿宋_GB2312" w:hAnsi="仿宋_GB2312" w:cs="仿宋_GB2312"/>
          <w:highlight w:val="none"/>
        </w:rPr>
        <w:t>建设单位应加强工程建设对相邻</w:t>
      </w:r>
      <w:r>
        <w:rPr>
          <w:rFonts w:hint="eastAsia"/>
          <w:szCs w:val="32"/>
          <w:highlight w:val="none"/>
          <w:lang w:bidi="ar"/>
        </w:rPr>
        <w:t>码头</w:t>
      </w:r>
      <w:r>
        <w:rPr>
          <w:rFonts w:hint="eastAsia" w:ascii="仿宋_GB2312" w:hAnsi="仿宋_GB2312" w:cs="仿宋_GB2312"/>
          <w:highlight w:val="none"/>
        </w:rPr>
        <w:t>及其他设施的影响分析，及时采取合理措施，确保工程自身和相邻建筑物的安全</w:t>
      </w:r>
      <w:r>
        <w:rPr>
          <w:rFonts w:hint="eastAsia" w:ascii="仿宋_GB2312" w:hAnsi="仿宋_GB2312" w:cs="仿宋_GB2312"/>
          <w:highlight w:val="none"/>
          <w:lang w:eastAsia="zh-CN"/>
        </w:rPr>
        <w:t>；</w:t>
      </w:r>
      <w:r>
        <w:rPr>
          <w:rFonts w:hint="eastAsia" w:ascii="仿宋_GB2312" w:hAnsi="仿宋_GB2312" w:cs="仿宋_GB2312"/>
          <w:highlight w:val="none"/>
        </w:rPr>
        <w:t>加强船舶调度管理，妥善处理船舶进出与其他船舶通航关系；运营船舶应适应航道通航条件，采取合理措施安全通过相关水域，保障航道通航安全。</w:t>
      </w:r>
    </w:p>
    <w:p w14:paraId="53B74A2D">
      <w:pPr>
        <w:spacing w:line="560" w:lineRule="exact"/>
        <w:ind w:firstLine="640" w:firstLineChars="200"/>
        <w:rPr>
          <w:kern w:val="2"/>
          <w:szCs w:val="32"/>
          <w:highlight w:val="none"/>
          <w:lang w:bidi="ar"/>
        </w:rPr>
      </w:pPr>
      <w:r>
        <w:rPr>
          <w:kern w:val="2"/>
          <w:szCs w:val="32"/>
          <w:highlight w:val="none"/>
          <w:lang w:bidi="ar"/>
        </w:rPr>
        <w:t>（三）建设及管理单位应加强与当地航道部门的沟通协调，积极支持附近必要的航道整治和日常养护作业等相关活动。</w:t>
      </w:r>
    </w:p>
    <w:p w14:paraId="16EBBB57">
      <w:pPr>
        <w:widowControl w:val="0"/>
        <w:adjustRightInd w:val="0"/>
        <w:snapToGrid w:val="0"/>
        <w:spacing w:line="560" w:lineRule="exact"/>
        <w:ind w:firstLine="640" w:firstLineChars="200"/>
        <w:rPr>
          <w:kern w:val="2"/>
          <w:szCs w:val="32"/>
          <w:highlight w:val="none"/>
        </w:rPr>
      </w:pPr>
      <w:r>
        <w:rPr>
          <w:rFonts w:eastAsia="黑体"/>
          <w:kern w:val="2"/>
          <w:szCs w:val="32"/>
          <w:highlight w:val="none"/>
          <w:lang w:bidi="ar"/>
        </w:rPr>
        <w:t>四、有关要求</w:t>
      </w:r>
    </w:p>
    <w:p w14:paraId="329C294E">
      <w:pPr>
        <w:widowControl w:val="0"/>
        <w:adjustRightInd w:val="0"/>
        <w:snapToGrid w:val="0"/>
        <w:spacing w:line="560" w:lineRule="exact"/>
        <w:ind w:firstLine="640" w:firstLineChars="200"/>
        <w:rPr>
          <w:rFonts w:hint="eastAsia" w:ascii="仿宋_GB2312" w:hAnsi="宋体" w:cs="仿宋_GB2312"/>
          <w:szCs w:val="32"/>
          <w:highlight w:val="none"/>
          <w:lang w:bidi="ar"/>
        </w:rPr>
      </w:pPr>
      <w:r>
        <w:rPr>
          <w:rFonts w:hint="eastAsia" w:ascii="仿宋_GB2312" w:hAnsi="宋体" w:cs="仿宋_GB2312"/>
          <w:szCs w:val="32"/>
          <w:highlight w:val="none"/>
          <w:lang w:bidi="ar"/>
        </w:rPr>
        <w:t>（</w:t>
      </w:r>
      <w:r>
        <w:rPr>
          <w:rFonts w:hint="eastAsia" w:ascii="仿宋_GB2312" w:hAnsi="宋体" w:cs="仿宋_GB2312"/>
          <w:szCs w:val="32"/>
          <w:highlight w:val="none"/>
          <w:lang w:val="en-US" w:eastAsia="zh-CN" w:bidi="ar"/>
        </w:rPr>
        <w:t>一</w:t>
      </w:r>
      <w:r>
        <w:rPr>
          <w:rFonts w:hint="eastAsia" w:ascii="仿宋_GB2312" w:hAnsi="宋体" w:cs="仿宋_GB2312"/>
          <w:szCs w:val="32"/>
          <w:highlight w:val="none"/>
          <w:lang w:bidi="ar"/>
        </w:rPr>
        <w:t>）建设单位应严格按照本审核意见要求开展建设，积极配合</w:t>
      </w:r>
      <w:r>
        <w:rPr>
          <w:rFonts w:hint="eastAsia" w:ascii="仿宋_GB2312" w:hAnsi="宋体" w:cs="仿宋_GB2312"/>
          <w:szCs w:val="32"/>
          <w:highlight w:val="none"/>
          <w:lang w:val="en-US" w:eastAsia="zh-CN" w:bidi="ar"/>
        </w:rPr>
        <w:t>广州市港务局</w:t>
      </w:r>
      <w:r>
        <w:rPr>
          <w:rFonts w:hint="eastAsia" w:ascii="仿宋_GB2312" w:hAnsi="宋体" w:cs="仿宋_GB2312"/>
          <w:szCs w:val="32"/>
          <w:highlight w:val="none"/>
          <w:lang w:bidi="ar"/>
        </w:rPr>
        <w:t>实施技术核查。工程涉航部分完工后应向</w:t>
      </w:r>
      <w:r>
        <w:rPr>
          <w:rFonts w:hint="eastAsia" w:ascii="仿宋_GB2312" w:hAnsi="宋体" w:cs="仿宋_GB2312"/>
          <w:szCs w:val="32"/>
          <w:highlight w:val="none"/>
          <w:lang w:val="en-US" w:eastAsia="zh-CN" w:bidi="ar"/>
        </w:rPr>
        <w:t>广州市港务局</w:t>
      </w:r>
      <w:r>
        <w:rPr>
          <w:rFonts w:hint="eastAsia" w:ascii="仿宋_GB2312" w:hAnsi="宋体" w:cs="仿宋_GB2312"/>
          <w:szCs w:val="32"/>
          <w:highlight w:val="none"/>
          <w:lang w:bidi="ar"/>
        </w:rPr>
        <w:t>报送建设项目审核意见执行情况、施工临时设施及残留物的清除情况，以及助航和安全警示标志的设置情况等资料。</w:t>
      </w:r>
    </w:p>
    <w:p w14:paraId="2CD6AC7C">
      <w:pPr>
        <w:widowControl w:val="0"/>
        <w:adjustRightInd w:val="0"/>
        <w:snapToGrid w:val="0"/>
        <w:spacing w:line="560" w:lineRule="exact"/>
        <w:ind w:firstLine="640" w:firstLineChars="200"/>
        <w:rPr>
          <w:rFonts w:hint="eastAsia" w:ascii="仿宋_GB2312" w:hAnsi="宋体" w:cs="仿宋_GB2312"/>
          <w:szCs w:val="32"/>
          <w:highlight w:val="none"/>
          <w:lang w:bidi="ar"/>
        </w:rPr>
      </w:pPr>
      <w:r>
        <w:rPr>
          <w:rFonts w:hint="eastAsia" w:ascii="仿宋_GB2312" w:hAnsi="宋体" w:cs="仿宋_GB2312"/>
          <w:szCs w:val="32"/>
          <w:highlight w:val="none"/>
          <w:lang w:bidi="ar"/>
        </w:rPr>
        <w:t>（</w:t>
      </w:r>
      <w:r>
        <w:rPr>
          <w:rFonts w:hint="eastAsia" w:ascii="仿宋_GB2312" w:hAnsi="宋体" w:cs="仿宋_GB2312"/>
          <w:szCs w:val="32"/>
          <w:highlight w:val="none"/>
          <w:lang w:val="en-US" w:eastAsia="zh-CN" w:bidi="ar"/>
        </w:rPr>
        <w:t>二</w:t>
      </w:r>
      <w:r>
        <w:rPr>
          <w:rFonts w:hint="eastAsia" w:ascii="仿宋_GB2312" w:hAnsi="宋体" w:cs="仿宋_GB2312"/>
          <w:szCs w:val="32"/>
          <w:highlight w:val="none"/>
          <w:lang w:bidi="ar"/>
        </w:rPr>
        <w:t>）请</w:t>
      </w:r>
      <w:r>
        <w:rPr>
          <w:rFonts w:hint="eastAsia" w:ascii="仿宋_GB2312" w:hAnsi="宋体" w:cs="仿宋_GB2312"/>
          <w:szCs w:val="32"/>
          <w:highlight w:val="none"/>
          <w:lang w:val="en-US" w:eastAsia="zh-CN" w:bidi="ar"/>
        </w:rPr>
        <w:t>广州市港务局、东莞市交通运输局</w:t>
      </w:r>
      <w:r>
        <w:rPr>
          <w:rFonts w:hint="eastAsia" w:ascii="仿宋_GB2312" w:hAnsi="宋体" w:cs="仿宋_GB2312"/>
          <w:szCs w:val="32"/>
          <w:highlight w:val="none"/>
          <w:lang w:bidi="ar"/>
        </w:rPr>
        <w:t>按照《管理办法》要求加强对建设项目技术核查工作的管理，建设项目与航道、通航有关的内容完工后，应将核查情况、建设单位关于审核意见的执行情况等报送我厅。</w:t>
      </w:r>
    </w:p>
    <w:p w14:paraId="3B9D60CF">
      <w:pPr>
        <w:widowControl w:val="0"/>
        <w:adjustRightInd w:val="0"/>
        <w:snapToGrid w:val="0"/>
        <w:spacing w:line="560" w:lineRule="exact"/>
        <w:ind w:firstLine="640" w:firstLineChars="200"/>
        <w:rPr>
          <w:kern w:val="2"/>
          <w:szCs w:val="32"/>
          <w:highlight w:val="none"/>
        </w:rPr>
      </w:pPr>
      <w:r>
        <w:rPr>
          <w:rFonts w:eastAsia="黑体"/>
          <w:kern w:val="2"/>
          <w:szCs w:val="32"/>
          <w:highlight w:val="none"/>
          <w:lang w:bidi="ar"/>
        </w:rPr>
        <w:t>五、其他事项</w:t>
      </w:r>
    </w:p>
    <w:p w14:paraId="7A1FEFAF">
      <w:pPr>
        <w:widowControl w:val="0"/>
        <w:spacing w:line="560" w:lineRule="exact"/>
        <w:ind w:firstLine="640" w:firstLineChars="200"/>
        <w:rPr>
          <w:szCs w:val="32"/>
          <w:highlight w:val="none"/>
          <w:lang w:bidi="ar"/>
        </w:rPr>
      </w:pPr>
      <w:r>
        <w:rPr>
          <w:szCs w:val="32"/>
          <w:highlight w:val="none"/>
          <w:lang w:bidi="ar"/>
        </w:rPr>
        <w:t>（一）本项目的建设单位、项目名称和涉及航道、通航的事项发生变化的，建设单位应当向我厅申请办理变更手续。其中，涉及航道、通航的事项发生较大调整且对航道通航条件可能产生不利影响的，应当开展补充或者重新评价，并重新报我厅审核。</w:t>
      </w:r>
    </w:p>
    <w:p w14:paraId="0EAFBABE">
      <w:pPr>
        <w:widowControl w:val="0"/>
        <w:spacing w:line="560" w:lineRule="exact"/>
        <w:ind w:firstLine="640" w:firstLineChars="200"/>
        <w:rPr>
          <w:szCs w:val="32"/>
          <w:highlight w:val="none"/>
          <w:lang w:bidi="ar"/>
        </w:rPr>
      </w:pPr>
      <w:r>
        <w:rPr>
          <w:szCs w:val="32"/>
          <w:highlight w:val="none"/>
          <w:lang w:bidi="ar"/>
        </w:rPr>
        <w:t>（二）自本审核意见签发之日起三年内未开工建设的，或者开工建设前因重大自然灾害、极端水文条件等引起航道通航条件发生重大变化的，建设单位应当重新申请办理审核手续。</w:t>
      </w:r>
    </w:p>
    <w:p w14:paraId="4303337D">
      <w:pPr>
        <w:widowControl w:val="0"/>
        <w:spacing w:line="560" w:lineRule="exact"/>
        <w:ind w:firstLine="640" w:firstLineChars="200"/>
        <w:rPr>
          <w:rFonts w:hint="eastAsia" w:eastAsia="宋体"/>
          <w:sz w:val="24"/>
          <w:szCs w:val="24"/>
          <w:highlight w:val="none"/>
          <w:lang w:bidi="ar"/>
        </w:rPr>
      </w:pPr>
      <w:r>
        <w:rPr>
          <w:szCs w:val="32"/>
          <w:highlight w:val="none"/>
          <w:lang w:bidi="ar"/>
        </w:rPr>
        <w:t>（三）工程建设涉及港口管理等其他事宜，请到有关部门联系办理。</w:t>
      </w:r>
      <w:bookmarkEnd w:id="1"/>
    </w:p>
    <w:sectPr>
      <w:footerReference r:id="rId7" w:type="first"/>
      <w:footerReference r:id="rId5" w:type="default"/>
      <w:footerReference r:id="rId6" w:type="even"/>
      <w:endnotePr>
        <w:numFmt w:val="decimal"/>
        <w:numStart w:val="0"/>
      </w:endnotePr>
      <w:pgSz w:w="11907" w:h="16840"/>
      <w:pgMar w:top="1474" w:right="1361" w:bottom="1559" w:left="1474" w:header="720" w:footer="1418" w:gutter="0"/>
      <w:pgNumType w:start="1"/>
      <w:cols w:space="720" w:num="1"/>
      <w:titlePg/>
      <w:docGrid w:type="lines" w:linePitch="5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5A71">
    <w:pPr>
      <w:pStyle w:val="2"/>
      <w:spacing w:before="0"/>
      <w:jc w:val="right"/>
    </w:pPr>
    <w:r>
      <w:rPr>
        <w:rFonts w:hint="eastAsia"/>
      </w:rPr>
      <w:t>—</w:t>
    </w:r>
    <w:r>
      <w:fldChar w:fldCharType="begin"/>
    </w:r>
    <w:r>
      <w:instrText xml:space="preserve">PAGE   \* MERGEFORMAT</w:instrText>
    </w:r>
    <w:r>
      <w:fldChar w:fldCharType="separate"/>
    </w:r>
    <w:r>
      <w:rPr>
        <w:lang w:val="zh-CN"/>
      </w:rPr>
      <w:t>3</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85BB">
    <w:pPr>
      <w:pStyle w:val="2"/>
      <w:tabs>
        <w:tab w:val="left" w:pos="7740"/>
        <w:tab w:val="right" w:pos="9072"/>
      </w:tabs>
      <w:spacing w:before="0"/>
      <w:jc w:val="left"/>
      <w:rPr>
        <w:rFonts w:hint="eastAsia"/>
      </w:rPr>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F09C">
    <w:pPr>
      <w:pStyle w:val="2"/>
      <w:spacing w:before="0"/>
      <w:jc w:val="lef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numStart w:val="0"/>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AB92058"/>
    <w:rsid w:val="009C779F"/>
    <w:rsid w:val="01064C9A"/>
    <w:rsid w:val="015E14A2"/>
    <w:rsid w:val="016F0A91"/>
    <w:rsid w:val="01B51883"/>
    <w:rsid w:val="04463D2B"/>
    <w:rsid w:val="053F3E7F"/>
    <w:rsid w:val="05CB04ED"/>
    <w:rsid w:val="07727AEC"/>
    <w:rsid w:val="085602B5"/>
    <w:rsid w:val="091A12E3"/>
    <w:rsid w:val="09440A55"/>
    <w:rsid w:val="095D75E6"/>
    <w:rsid w:val="09A3752A"/>
    <w:rsid w:val="0A3960E0"/>
    <w:rsid w:val="0A546A76"/>
    <w:rsid w:val="0AA25A34"/>
    <w:rsid w:val="0AB92058"/>
    <w:rsid w:val="0B13248D"/>
    <w:rsid w:val="0C230F76"/>
    <w:rsid w:val="0CD36378"/>
    <w:rsid w:val="0D5437E3"/>
    <w:rsid w:val="0D7116ED"/>
    <w:rsid w:val="0DE6032D"/>
    <w:rsid w:val="0E864717"/>
    <w:rsid w:val="0EA578A0"/>
    <w:rsid w:val="0F0547E3"/>
    <w:rsid w:val="0F136F00"/>
    <w:rsid w:val="0F260369"/>
    <w:rsid w:val="10417A9D"/>
    <w:rsid w:val="108654B0"/>
    <w:rsid w:val="109C2F25"/>
    <w:rsid w:val="10B97633"/>
    <w:rsid w:val="1137024E"/>
    <w:rsid w:val="13AA5959"/>
    <w:rsid w:val="14060DE1"/>
    <w:rsid w:val="148D505F"/>
    <w:rsid w:val="14E8498B"/>
    <w:rsid w:val="15CF1017"/>
    <w:rsid w:val="15EA028F"/>
    <w:rsid w:val="163A1216"/>
    <w:rsid w:val="16C41F1D"/>
    <w:rsid w:val="18FC7448"/>
    <w:rsid w:val="195425EF"/>
    <w:rsid w:val="195919B3"/>
    <w:rsid w:val="198329B6"/>
    <w:rsid w:val="1AB31597"/>
    <w:rsid w:val="1B925650"/>
    <w:rsid w:val="1C324846"/>
    <w:rsid w:val="1CED6FE2"/>
    <w:rsid w:val="1D1327C1"/>
    <w:rsid w:val="1D291DE0"/>
    <w:rsid w:val="1EFE30F7"/>
    <w:rsid w:val="1F9D6372"/>
    <w:rsid w:val="2000517F"/>
    <w:rsid w:val="20104D96"/>
    <w:rsid w:val="208337BA"/>
    <w:rsid w:val="21C13AD1"/>
    <w:rsid w:val="21DD6EFA"/>
    <w:rsid w:val="22243F6D"/>
    <w:rsid w:val="2225345A"/>
    <w:rsid w:val="22F56BF1"/>
    <w:rsid w:val="23576068"/>
    <w:rsid w:val="238B47C5"/>
    <w:rsid w:val="23C13E08"/>
    <w:rsid w:val="243A6885"/>
    <w:rsid w:val="2677349D"/>
    <w:rsid w:val="26DB4B00"/>
    <w:rsid w:val="28732366"/>
    <w:rsid w:val="2A841EDB"/>
    <w:rsid w:val="2AB7478C"/>
    <w:rsid w:val="2AF94DA4"/>
    <w:rsid w:val="2B5E72FD"/>
    <w:rsid w:val="2B681F2A"/>
    <w:rsid w:val="2CA64AB8"/>
    <w:rsid w:val="2CDC672B"/>
    <w:rsid w:val="2CE039A5"/>
    <w:rsid w:val="2D60110A"/>
    <w:rsid w:val="2DA01E4F"/>
    <w:rsid w:val="2E2A34C6"/>
    <w:rsid w:val="2E352597"/>
    <w:rsid w:val="2E5C37C8"/>
    <w:rsid w:val="2E870919"/>
    <w:rsid w:val="2EDC3092"/>
    <w:rsid w:val="2EE95130"/>
    <w:rsid w:val="2FF975F4"/>
    <w:rsid w:val="300B7231"/>
    <w:rsid w:val="319677F1"/>
    <w:rsid w:val="32313075"/>
    <w:rsid w:val="323F6E3B"/>
    <w:rsid w:val="32B53CA7"/>
    <w:rsid w:val="3306047F"/>
    <w:rsid w:val="334E5EA9"/>
    <w:rsid w:val="34207846"/>
    <w:rsid w:val="34DD5737"/>
    <w:rsid w:val="35330D19"/>
    <w:rsid w:val="368C4D1E"/>
    <w:rsid w:val="369D4959"/>
    <w:rsid w:val="376E6341"/>
    <w:rsid w:val="37945201"/>
    <w:rsid w:val="3902576C"/>
    <w:rsid w:val="3A5164BC"/>
    <w:rsid w:val="3A64183E"/>
    <w:rsid w:val="3A750F66"/>
    <w:rsid w:val="3A9612AD"/>
    <w:rsid w:val="3AEB77F5"/>
    <w:rsid w:val="3C0D6901"/>
    <w:rsid w:val="3C101301"/>
    <w:rsid w:val="3C236125"/>
    <w:rsid w:val="3C78797D"/>
    <w:rsid w:val="3CE07B72"/>
    <w:rsid w:val="3CE21B3C"/>
    <w:rsid w:val="3E151A9D"/>
    <w:rsid w:val="3EC84D62"/>
    <w:rsid w:val="3EE762D2"/>
    <w:rsid w:val="3EED6576"/>
    <w:rsid w:val="3F035D9A"/>
    <w:rsid w:val="3F634A8A"/>
    <w:rsid w:val="3F9B5FD2"/>
    <w:rsid w:val="3FA00DE2"/>
    <w:rsid w:val="401C34CA"/>
    <w:rsid w:val="40541C2A"/>
    <w:rsid w:val="417E6496"/>
    <w:rsid w:val="41D63C39"/>
    <w:rsid w:val="42B31885"/>
    <w:rsid w:val="43A833B4"/>
    <w:rsid w:val="43FF6FF1"/>
    <w:rsid w:val="447B63D2"/>
    <w:rsid w:val="44A91191"/>
    <w:rsid w:val="44F543D6"/>
    <w:rsid w:val="45961716"/>
    <w:rsid w:val="46C6602A"/>
    <w:rsid w:val="47136D96"/>
    <w:rsid w:val="47CB141F"/>
    <w:rsid w:val="490A2F59"/>
    <w:rsid w:val="49396F88"/>
    <w:rsid w:val="4B1650A7"/>
    <w:rsid w:val="4C771B75"/>
    <w:rsid w:val="4CC528E0"/>
    <w:rsid w:val="4CDC3ABD"/>
    <w:rsid w:val="4D587BF8"/>
    <w:rsid w:val="4E467A51"/>
    <w:rsid w:val="4E797E26"/>
    <w:rsid w:val="4F840831"/>
    <w:rsid w:val="50616DC4"/>
    <w:rsid w:val="511A2107"/>
    <w:rsid w:val="5138140E"/>
    <w:rsid w:val="53126808"/>
    <w:rsid w:val="53514ECE"/>
    <w:rsid w:val="53F00B8B"/>
    <w:rsid w:val="53FFD70F"/>
    <w:rsid w:val="55432F3C"/>
    <w:rsid w:val="55690BF5"/>
    <w:rsid w:val="55C0633B"/>
    <w:rsid w:val="56026953"/>
    <w:rsid w:val="56B45E9F"/>
    <w:rsid w:val="56CF2378"/>
    <w:rsid w:val="57BD0D84"/>
    <w:rsid w:val="58B31C4F"/>
    <w:rsid w:val="595F7590"/>
    <w:rsid w:val="59796F2C"/>
    <w:rsid w:val="59AC10B0"/>
    <w:rsid w:val="5AB97222"/>
    <w:rsid w:val="5BB10BFF"/>
    <w:rsid w:val="5D5C2DED"/>
    <w:rsid w:val="5DB42C29"/>
    <w:rsid w:val="5E0D0017"/>
    <w:rsid w:val="5F125E59"/>
    <w:rsid w:val="60486078"/>
    <w:rsid w:val="612105D5"/>
    <w:rsid w:val="612C2AD6"/>
    <w:rsid w:val="614C67D0"/>
    <w:rsid w:val="639C5604"/>
    <w:rsid w:val="63BC6393"/>
    <w:rsid w:val="647F139F"/>
    <w:rsid w:val="64C80D68"/>
    <w:rsid w:val="651D2E62"/>
    <w:rsid w:val="657449B3"/>
    <w:rsid w:val="65FC7F22"/>
    <w:rsid w:val="66263F98"/>
    <w:rsid w:val="66652D12"/>
    <w:rsid w:val="66E2549B"/>
    <w:rsid w:val="671D498D"/>
    <w:rsid w:val="678E6299"/>
    <w:rsid w:val="67C25F42"/>
    <w:rsid w:val="67E4235D"/>
    <w:rsid w:val="68F77E6E"/>
    <w:rsid w:val="6A5C442C"/>
    <w:rsid w:val="6A7C7C19"/>
    <w:rsid w:val="6AA02A19"/>
    <w:rsid w:val="6C33740F"/>
    <w:rsid w:val="6C7E4433"/>
    <w:rsid w:val="6D374CDD"/>
    <w:rsid w:val="6DEE5CE3"/>
    <w:rsid w:val="6E7855AD"/>
    <w:rsid w:val="6F5B5AA7"/>
    <w:rsid w:val="70974410"/>
    <w:rsid w:val="71B0555E"/>
    <w:rsid w:val="72C07522"/>
    <w:rsid w:val="72F71196"/>
    <w:rsid w:val="7344657D"/>
    <w:rsid w:val="73726A6F"/>
    <w:rsid w:val="73840550"/>
    <w:rsid w:val="73903399"/>
    <w:rsid w:val="74E90FB2"/>
    <w:rsid w:val="75DF4163"/>
    <w:rsid w:val="7722255A"/>
    <w:rsid w:val="785B52D1"/>
    <w:rsid w:val="78DE0702"/>
    <w:rsid w:val="79FF4DD4"/>
    <w:rsid w:val="7A3507F6"/>
    <w:rsid w:val="7B034450"/>
    <w:rsid w:val="7CA11E26"/>
    <w:rsid w:val="7D1961AD"/>
    <w:rsid w:val="7D3357F3"/>
    <w:rsid w:val="7D423956"/>
    <w:rsid w:val="7E3D5ECB"/>
    <w:rsid w:val="7E431733"/>
    <w:rsid w:val="7E88183C"/>
    <w:rsid w:val="7F1430D0"/>
    <w:rsid w:val="7F6A7194"/>
    <w:rsid w:val="7F7E3B7F"/>
    <w:rsid w:val="7FEE7E86"/>
    <w:rsid w:val="BAEFD0C5"/>
    <w:rsid w:val="FFEFE5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atLeast"/>
      <w:jc w:val="both"/>
    </w:pPr>
    <w:rPr>
      <w:rFonts w:ascii="Times New Roman" w:hAnsi="Times New Roman" w:eastAsia="仿宋_GB2312" w:cs="Times New Roman"/>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before="240" w:line="380" w:lineRule="atLeast"/>
      <w:ind w:firstLine="0"/>
      <w:jc w:val="center"/>
    </w:pPr>
    <w:rPr>
      <w:spacing w:val="34"/>
    </w:rPr>
  </w:style>
  <w:style w:type="paragraph" w:styleId="3">
    <w:name w:val="Normal (Web)"/>
    <w:basedOn w:val="1"/>
    <w:unhideWhenUsed/>
    <w:qFormat/>
    <w:uiPriority w:val="99"/>
    <w:pPr>
      <w:spacing w:before="100" w:beforeAutospacing="1" w:after="100" w:afterAutospacing="1" w:line="240" w:lineRule="auto"/>
      <w:jc w:val="left"/>
    </w:pPr>
    <w:rPr>
      <w:rFonts w:ascii="宋体" w:hAnsi="宋体" w:eastAsia="宋体" w:cs="宋体"/>
      <w:sz w:val="24"/>
      <w:szCs w:val="24"/>
    </w:rPr>
  </w:style>
  <w:style w:type="paragraph" w:customStyle="1" w:styleId="6">
    <w:name w:val="主送单位"/>
    <w:basedOn w:val="1"/>
    <w:qFormat/>
    <w:uiPriority w:val="0"/>
    <w:pPr>
      <w:ind w:firstLine="0"/>
      <w:jc w:val="both"/>
    </w:p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1797</Words>
  <Characters>1865</Characters>
  <Lines>0</Lines>
  <Paragraphs>0</Paragraphs>
  <TotalTime>0</TotalTime>
  <ScaleCrop>false</ScaleCrop>
  <LinksUpToDate>false</LinksUpToDate>
  <CharactersWithSpaces>1867</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2024-06-20T00:05:00Z</dcterms:created>
  <dc:creator>陈靖雯</dc:creator>
  <cp:lastModifiedBy>Hakuna matata</cp:lastModifiedBy>
  <cp:lastPrinted>2025-02-08T16:59:00Z</cp:lastPrinted>
  <dcterms:modified xsi:type="dcterms:W3CDTF">2025-02-19T10:37:02Z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D0901399371BF671CE43B5672CD561BE_43</vt:lpwstr>
  </property>
  <property fmtid="{D5CDD505-2E9C-101B-9397-08002B2CF9AE}" pid="4" name="KSOTemplateDocerSaveRecord">
    <vt:lpwstr>eyJoZGlkIjoiMmU2NDJlMzk2YjM2OTczYmUxY2NkYmZmNzEzMmM3ZmQiLCJ1c2VySWQiOiI1NjkyMzUzOTMifQ==</vt:lpwstr>
  </property>
</Properties>
</file>