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3230"/>
        </w:tabs>
        <w:ind w:firstLine="568"/>
        <w:rPr>
          <w:rFonts w:hint="eastAsia" w:ascii="黑体" w:hAnsi="黑体" w:eastAsia="黑体" w:cs="黑体"/>
          <w:color w:val="auto"/>
          <w:szCs w:val="32"/>
          <w:lang w:val="en-US" w:eastAsia="zh-CN"/>
        </w:rPr>
      </w:pPr>
      <w:r>
        <w:rPr>
          <w:rFonts w:hint="eastAsia" w:ascii="黑体" w:hAnsi="黑体" w:eastAsia="黑体" w:cs="黑体"/>
          <w:color w:val="auto"/>
          <w:szCs w:val="32"/>
          <w:lang w:val="en-US" w:eastAsia="zh-CN"/>
        </w:rPr>
        <w:t>附件2-1</w:t>
      </w:r>
    </w:p>
    <w:p>
      <w:pPr>
        <w:adjustRightInd w:val="0"/>
        <w:ind w:firstLine="480" w:firstLineChars="150"/>
        <w:jc w:val="center"/>
        <w:rPr>
          <w:rFonts w:hint="eastAsia" w:ascii="华文中宋" w:hAnsi="华文中宋" w:eastAsia="华文中宋" w:cs="华文中宋"/>
          <w:color w:val="auto"/>
          <w:kern w:val="0"/>
          <w:szCs w:val="32"/>
        </w:rPr>
      </w:pPr>
      <w:r>
        <w:rPr>
          <w:rFonts w:hint="eastAsia" w:ascii="华文中宋" w:hAnsi="华文中宋" w:eastAsia="华文中宋" w:cs="华文中宋"/>
          <w:color w:val="auto"/>
          <w:kern w:val="0"/>
          <w:szCs w:val="32"/>
        </w:rPr>
        <w:t>《广东省</w:t>
      </w:r>
      <w:r>
        <w:rPr>
          <w:rFonts w:hint="eastAsia" w:ascii="华文中宋" w:hAnsi="华文中宋" w:eastAsia="华文中宋" w:cs="华文中宋"/>
          <w:color w:val="auto"/>
          <w:kern w:val="0"/>
          <w:szCs w:val="32"/>
          <w:lang w:eastAsia="zh-CN"/>
        </w:rPr>
        <w:t>水运</w:t>
      </w:r>
      <w:r>
        <w:rPr>
          <w:rFonts w:hint="eastAsia" w:ascii="华文中宋" w:hAnsi="华文中宋" w:eastAsia="华文中宋" w:cs="华文中宋"/>
          <w:color w:val="auto"/>
          <w:kern w:val="0"/>
          <w:szCs w:val="32"/>
        </w:rPr>
        <w:t>工程从业单位信用评价等级标准要求》</w:t>
      </w:r>
    </w:p>
    <w:p>
      <w:pPr>
        <w:adjustRightInd w:val="0"/>
        <w:ind w:firstLine="360" w:firstLineChars="150"/>
        <w:jc w:val="center"/>
        <w:rPr>
          <w:rFonts w:hint="eastAsia" w:ascii="华文中宋" w:hAnsi="华文中宋" w:eastAsia="华文中宋" w:cs="华文中宋"/>
          <w:color w:val="auto"/>
          <w:kern w:val="0"/>
          <w:sz w:val="24"/>
          <w:szCs w:val="24"/>
        </w:rPr>
      </w:pPr>
    </w:p>
    <w:p>
      <w:pPr>
        <w:adjustRightInd w:val="0"/>
        <w:ind w:firstLine="420" w:firstLineChars="150"/>
        <w:jc w:val="center"/>
        <w:rPr>
          <w:rFonts w:ascii="华文中宋" w:hAnsi="华文中宋" w:eastAsia="华文中宋" w:cs="华文中宋"/>
          <w:color w:val="auto"/>
          <w:kern w:val="0"/>
          <w:sz w:val="28"/>
          <w:szCs w:val="28"/>
        </w:rPr>
      </w:pPr>
      <w:r>
        <w:rPr>
          <w:rFonts w:hint="eastAsia" w:ascii="华文中宋" w:hAnsi="华文中宋" w:eastAsia="华文中宋" w:cs="华文中宋"/>
          <w:color w:val="auto"/>
          <w:kern w:val="0"/>
          <w:sz w:val="28"/>
          <w:szCs w:val="28"/>
        </w:rPr>
        <w:t>一、</w:t>
      </w:r>
      <w:r>
        <w:rPr>
          <w:rFonts w:hint="eastAsia" w:ascii="华文中宋" w:hAnsi="华文中宋" w:eastAsia="华文中宋" w:cs="华文中宋"/>
          <w:color w:val="auto"/>
          <w:kern w:val="0"/>
          <w:sz w:val="28"/>
          <w:szCs w:val="28"/>
          <w:lang w:eastAsia="zh-CN"/>
        </w:rPr>
        <w:t>水运</w:t>
      </w:r>
      <w:r>
        <w:rPr>
          <w:rFonts w:hint="eastAsia" w:ascii="华文中宋" w:hAnsi="华文中宋" w:eastAsia="华文中宋" w:cs="华文中宋"/>
          <w:color w:val="auto"/>
          <w:kern w:val="0"/>
          <w:sz w:val="28"/>
          <w:szCs w:val="28"/>
        </w:rPr>
        <w:t>工程设计企业信用评价等级标准</w:t>
      </w:r>
    </w:p>
    <w:tbl>
      <w:tblPr>
        <w:tblStyle w:val="6"/>
        <w:tblW w:w="145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758"/>
        <w:gridCol w:w="6520"/>
        <w:gridCol w:w="4172"/>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75"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信用等级</w:t>
            </w:r>
          </w:p>
        </w:tc>
        <w:tc>
          <w:tcPr>
            <w:tcW w:w="1758"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评分要求(X)</w:t>
            </w:r>
          </w:p>
        </w:tc>
        <w:tc>
          <w:tcPr>
            <w:tcW w:w="652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项目数量及合同额要求</w:t>
            </w:r>
          </w:p>
        </w:tc>
        <w:tc>
          <w:tcPr>
            <w:tcW w:w="4172"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其他要求</w:t>
            </w:r>
          </w:p>
        </w:tc>
        <w:tc>
          <w:tcPr>
            <w:tcW w:w="135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评价结论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75"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AA</w:t>
            </w:r>
          </w:p>
        </w:tc>
        <w:tc>
          <w:tcPr>
            <w:tcW w:w="1758" w:type="dxa"/>
            <w:vAlign w:val="center"/>
          </w:tcPr>
          <w:p>
            <w:pPr>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X≥95分</w:t>
            </w:r>
          </w:p>
        </w:tc>
        <w:tc>
          <w:tcPr>
            <w:tcW w:w="6520"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①评价年度内有2个及以上广东省内从业项目合同段参与评价，且设计合同总额累计超过0.15亿元；或者有1个广东省内从业项目合同段参与评价，但设计合同总额超过0.2亿元。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②</w:t>
            </w:r>
            <w:r>
              <w:rPr>
                <w:rFonts w:hint="eastAsia" w:ascii="仿宋" w:hAnsi="仿宋" w:eastAsia="仿宋" w:cs="仿宋"/>
                <w:color w:val="auto"/>
                <w:kern w:val="0"/>
                <w:sz w:val="21"/>
                <w:szCs w:val="21"/>
                <w:lang w:val="en-US" w:eastAsia="zh-CN"/>
              </w:rPr>
              <w:t>如评价年度较上一评价年度符合AA级设计合同额要求的单位减少20%，则评价年度AA级设计合同额的要求降低20%，其他不变。</w:t>
            </w:r>
          </w:p>
        </w:tc>
        <w:tc>
          <w:tcPr>
            <w:tcW w:w="4172" w:type="dxa"/>
            <w:vAlign w:val="center"/>
          </w:tcPr>
          <w:p>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有</w:t>
            </w: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个</w:t>
            </w:r>
            <w:r>
              <w:rPr>
                <w:rFonts w:hint="eastAsia" w:ascii="仿宋" w:hAnsi="仿宋" w:eastAsia="仿宋" w:cs="仿宋"/>
                <w:color w:val="auto"/>
                <w:kern w:val="0"/>
                <w:sz w:val="21"/>
                <w:szCs w:val="21"/>
                <w:lang w:val="en-US" w:eastAsia="zh-CN"/>
              </w:rPr>
              <w:t>及</w:t>
            </w:r>
            <w:r>
              <w:rPr>
                <w:rFonts w:hint="eastAsia" w:ascii="仿宋" w:hAnsi="仿宋" w:eastAsia="仿宋" w:cs="仿宋"/>
                <w:color w:val="auto"/>
                <w:kern w:val="0"/>
                <w:sz w:val="21"/>
                <w:szCs w:val="21"/>
              </w:rPr>
              <w:t>以上设计合同段的初步设计或施工图设计在评价年度内通过交通运输主管部门或其委托单位审查（批）。</w:t>
            </w:r>
          </w:p>
        </w:tc>
        <w:tc>
          <w:tcPr>
            <w:tcW w:w="1350" w:type="dxa"/>
            <w:vAlign w:val="center"/>
          </w:tcPr>
          <w:p>
            <w:pPr>
              <w:adjustRightInd w:val="0"/>
              <w:spacing w:line="4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0" w:hRule="atLeast"/>
          <w:jc w:val="center"/>
        </w:trPr>
        <w:tc>
          <w:tcPr>
            <w:tcW w:w="775" w:type="dxa"/>
            <w:vAlign w:val="center"/>
          </w:tcPr>
          <w:p>
            <w:pPr>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A</w:t>
            </w:r>
          </w:p>
        </w:tc>
        <w:tc>
          <w:tcPr>
            <w:tcW w:w="1758" w:type="dxa"/>
            <w:vAlign w:val="center"/>
          </w:tcPr>
          <w:p>
            <w:pPr>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X≥85分</w:t>
            </w:r>
          </w:p>
        </w:tc>
        <w:tc>
          <w:tcPr>
            <w:tcW w:w="6520"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①评价年度内有1个及以上广东省内从业项目合同段参与评价，且设计合同总额累计超过0.07亿元。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②</w:t>
            </w:r>
            <w:r>
              <w:rPr>
                <w:rFonts w:hint="eastAsia" w:ascii="仿宋" w:hAnsi="仿宋" w:eastAsia="仿宋" w:cs="仿宋"/>
                <w:color w:val="auto"/>
                <w:kern w:val="0"/>
                <w:sz w:val="21"/>
                <w:szCs w:val="21"/>
                <w:lang w:val="en-US" w:eastAsia="zh-CN"/>
              </w:rPr>
              <w:t>如评价年度较上一评价年度符合A级设计合同额要求的单位减少20%，则评价年度A级设计合同额的要求降低20%，其他不变。</w:t>
            </w:r>
          </w:p>
        </w:tc>
        <w:tc>
          <w:tcPr>
            <w:tcW w:w="4172"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有</w:t>
            </w: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个</w:t>
            </w:r>
            <w:r>
              <w:rPr>
                <w:rFonts w:hint="eastAsia" w:ascii="仿宋" w:hAnsi="仿宋" w:eastAsia="仿宋" w:cs="仿宋"/>
                <w:color w:val="auto"/>
                <w:kern w:val="0"/>
                <w:sz w:val="21"/>
                <w:szCs w:val="21"/>
                <w:lang w:val="en-US" w:eastAsia="zh-CN"/>
              </w:rPr>
              <w:t>及</w:t>
            </w:r>
            <w:r>
              <w:rPr>
                <w:rFonts w:hint="eastAsia" w:ascii="仿宋" w:hAnsi="仿宋" w:eastAsia="仿宋" w:cs="仿宋"/>
                <w:color w:val="auto"/>
                <w:kern w:val="0"/>
                <w:sz w:val="21"/>
                <w:szCs w:val="21"/>
              </w:rPr>
              <w:t>以上设计合同段的初步设计或施工图设计在评价年度内通过交通运输主管部门或其委托单位审查（批）。</w:t>
            </w:r>
          </w:p>
        </w:tc>
        <w:tc>
          <w:tcPr>
            <w:tcW w:w="1350" w:type="dxa"/>
            <w:vAlign w:val="center"/>
          </w:tcPr>
          <w:p>
            <w:pPr>
              <w:adjustRightInd w:val="0"/>
              <w:spacing w:line="4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信用较好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9" w:hRule="atLeast"/>
          <w:jc w:val="center"/>
        </w:trPr>
        <w:tc>
          <w:tcPr>
            <w:tcW w:w="775"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B</w:t>
            </w:r>
          </w:p>
        </w:tc>
        <w:tc>
          <w:tcPr>
            <w:tcW w:w="1758"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75分≤X＜85分</w:t>
            </w:r>
          </w:p>
        </w:tc>
        <w:tc>
          <w:tcPr>
            <w:tcW w:w="10692" w:type="dxa"/>
            <w:gridSpan w:val="2"/>
            <w:vAlign w:val="center"/>
          </w:tcPr>
          <w:p>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或75分≤X，但其他条件要求不能满足AA、A级要求。</w:t>
            </w:r>
          </w:p>
        </w:tc>
        <w:tc>
          <w:tcPr>
            <w:tcW w:w="1350" w:type="dxa"/>
            <w:vAlign w:val="center"/>
          </w:tcPr>
          <w:p>
            <w:pPr>
              <w:adjustRightInd w:val="0"/>
              <w:spacing w:line="4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9" w:hRule="atLeast"/>
          <w:jc w:val="center"/>
        </w:trPr>
        <w:tc>
          <w:tcPr>
            <w:tcW w:w="775"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C</w:t>
            </w:r>
          </w:p>
        </w:tc>
        <w:tc>
          <w:tcPr>
            <w:tcW w:w="1758"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60分≤X＜75分</w:t>
            </w:r>
          </w:p>
        </w:tc>
        <w:tc>
          <w:tcPr>
            <w:tcW w:w="10692" w:type="dxa"/>
            <w:gridSpan w:val="2"/>
            <w:vAlign w:val="center"/>
          </w:tcPr>
          <w:p>
            <w:pPr>
              <w:adjustRightInd w:val="0"/>
              <w:spacing w:line="40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w:t>
            </w:r>
            <w:r>
              <w:rPr>
                <w:rFonts w:hint="eastAsia" w:ascii="仿宋" w:hAnsi="仿宋" w:eastAsia="仿宋" w:cs="仿宋"/>
                <w:color w:val="auto"/>
                <w:kern w:val="0"/>
                <w:sz w:val="21"/>
                <w:szCs w:val="21"/>
                <w:lang w:val="en-US" w:eastAsia="zh-CN"/>
              </w:rPr>
              <w:t>C</w:t>
            </w:r>
            <w:r>
              <w:rPr>
                <w:rFonts w:hint="eastAsia" w:ascii="仿宋" w:hAnsi="仿宋" w:eastAsia="仿宋" w:cs="仿宋"/>
                <w:color w:val="auto"/>
                <w:kern w:val="0"/>
                <w:sz w:val="21"/>
                <w:szCs w:val="21"/>
              </w:rPr>
              <w:t>级的失信行为</w:t>
            </w:r>
          </w:p>
        </w:tc>
        <w:tc>
          <w:tcPr>
            <w:tcW w:w="1350" w:type="dxa"/>
            <w:vAlign w:val="center"/>
          </w:tcPr>
          <w:p>
            <w:pPr>
              <w:adjustRightInd w:val="0"/>
              <w:spacing w:line="4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信用较差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75"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D</w:t>
            </w:r>
          </w:p>
        </w:tc>
        <w:tc>
          <w:tcPr>
            <w:tcW w:w="1758"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X＜60</w:t>
            </w:r>
          </w:p>
        </w:tc>
        <w:tc>
          <w:tcPr>
            <w:tcW w:w="10692" w:type="dxa"/>
            <w:gridSpan w:val="2"/>
            <w:vAlign w:val="center"/>
          </w:tcPr>
          <w:p>
            <w:pPr>
              <w:adjustRightInd w:val="0"/>
              <w:spacing w:line="40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或者存在直接定为D级的失信行为</w:t>
            </w:r>
          </w:p>
        </w:tc>
        <w:tc>
          <w:tcPr>
            <w:tcW w:w="1350" w:type="dxa"/>
            <w:vAlign w:val="center"/>
          </w:tcPr>
          <w:p>
            <w:pPr>
              <w:adjustRightInd w:val="0"/>
              <w:spacing w:line="4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信用差</w:t>
            </w:r>
          </w:p>
        </w:tc>
      </w:tr>
    </w:tbl>
    <w:p>
      <w:pPr>
        <w:adjustRightInd w:val="0"/>
        <w:ind w:firstLine="360" w:firstLineChars="150"/>
        <w:jc w:val="center"/>
        <w:rPr>
          <w:rFonts w:hint="eastAsia" w:ascii="华文中宋" w:hAnsi="华文中宋" w:eastAsia="华文中宋" w:cs="华文中宋"/>
          <w:color w:val="auto"/>
          <w:kern w:val="0"/>
          <w:sz w:val="24"/>
          <w:szCs w:val="24"/>
        </w:rPr>
      </w:pPr>
    </w:p>
    <w:p>
      <w:pPr>
        <w:adjustRightInd w:val="0"/>
        <w:ind w:firstLine="360" w:firstLineChars="150"/>
        <w:jc w:val="center"/>
        <w:rPr>
          <w:rFonts w:hint="eastAsia" w:ascii="华文中宋" w:hAnsi="华文中宋" w:eastAsia="华文中宋" w:cs="华文中宋"/>
          <w:color w:val="auto"/>
          <w:kern w:val="0"/>
          <w:sz w:val="24"/>
          <w:szCs w:val="24"/>
        </w:rPr>
        <w:sectPr>
          <w:headerReference r:id="rId3" w:type="default"/>
          <w:footerReference r:id="rId4" w:type="default"/>
          <w:pgSz w:w="16838" w:h="11906" w:orient="landscape"/>
          <w:pgMar w:top="607" w:right="720" w:bottom="607" w:left="720" w:header="851" w:footer="992" w:gutter="0"/>
          <w:pgNumType w:fmt="decimal"/>
          <w:cols w:space="720" w:num="1"/>
          <w:rtlGutter w:val="0"/>
          <w:docGrid w:type="lines" w:linePitch="312" w:charSpace="0"/>
        </w:sectPr>
      </w:pPr>
    </w:p>
    <w:p>
      <w:pPr>
        <w:adjustRightInd w:val="0"/>
        <w:ind w:firstLine="420" w:firstLineChars="150"/>
        <w:jc w:val="center"/>
        <w:rPr>
          <w:rFonts w:hint="eastAsia" w:ascii="华文中宋" w:hAnsi="华文中宋" w:eastAsia="华文中宋" w:cs="华文中宋"/>
          <w:color w:val="auto"/>
          <w:kern w:val="0"/>
          <w:sz w:val="28"/>
          <w:szCs w:val="28"/>
        </w:rPr>
      </w:pPr>
      <w:r>
        <w:rPr>
          <w:rFonts w:hint="eastAsia" w:ascii="华文中宋" w:hAnsi="华文中宋" w:eastAsia="华文中宋" w:cs="华文中宋"/>
          <w:color w:val="auto"/>
          <w:kern w:val="0"/>
          <w:sz w:val="28"/>
          <w:szCs w:val="28"/>
        </w:rPr>
        <w:t>二、</w:t>
      </w:r>
      <w:r>
        <w:rPr>
          <w:rFonts w:hint="eastAsia" w:ascii="华文中宋" w:hAnsi="华文中宋" w:eastAsia="华文中宋" w:cs="华文中宋"/>
          <w:color w:val="auto"/>
          <w:kern w:val="0"/>
          <w:sz w:val="28"/>
          <w:szCs w:val="28"/>
          <w:lang w:eastAsia="zh-CN"/>
        </w:rPr>
        <w:t>水运</w:t>
      </w:r>
      <w:r>
        <w:rPr>
          <w:rFonts w:hint="eastAsia" w:ascii="华文中宋" w:hAnsi="华文中宋" w:eastAsia="华文中宋" w:cs="华文中宋"/>
          <w:color w:val="auto"/>
          <w:kern w:val="0"/>
          <w:sz w:val="28"/>
          <w:szCs w:val="28"/>
        </w:rPr>
        <w:t>工程施工企业信用评价等级标准</w:t>
      </w:r>
    </w:p>
    <w:tbl>
      <w:tblPr>
        <w:tblStyle w:val="6"/>
        <w:tblW w:w="145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13"/>
        <w:gridCol w:w="10465"/>
        <w:gridCol w:w="1347"/>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keepNext w:val="0"/>
              <w:keepLines w:val="0"/>
              <w:pageBreakBefore w:val="0"/>
              <w:widowControl w:val="0"/>
              <w:kinsoku/>
              <w:wordWrap/>
              <w:overflowPunct/>
              <w:topLinePunct w:val="0"/>
              <w:autoSpaceDE/>
              <w:autoSpaceDN/>
              <w:bidi w:val="0"/>
              <w:adjustRightInd w:val="0"/>
              <w:snapToGrid/>
              <w:spacing w:line="28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w:t>
            </w:r>
          </w:p>
          <w:p>
            <w:pPr>
              <w:keepNext w:val="0"/>
              <w:keepLines w:val="0"/>
              <w:pageBreakBefore w:val="0"/>
              <w:widowControl w:val="0"/>
              <w:kinsoku/>
              <w:wordWrap/>
              <w:overflowPunct/>
              <w:topLinePunct w:val="0"/>
              <w:autoSpaceDE/>
              <w:autoSpaceDN/>
              <w:bidi w:val="0"/>
              <w:adjustRightInd w:val="0"/>
              <w:snapToGrid/>
              <w:spacing w:line="28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等级</w:t>
            </w:r>
          </w:p>
        </w:tc>
        <w:tc>
          <w:tcPr>
            <w:tcW w:w="1113" w:type="dxa"/>
            <w:vAlign w:val="center"/>
          </w:tcPr>
          <w:p>
            <w:pPr>
              <w:keepNext w:val="0"/>
              <w:keepLines w:val="0"/>
              <w:pageBreakBefore w:val="0"/>
              <w:widowControl w:val="0"/>
              <w:kinsoku/>
              <w:wordWrap/>
              <w:overflowPunct/>
              <w:topLinePunct w:val="0"/>
              <w:autoSpaceDE/>
              <w:autoSpaceDN/>
              <w:bidi w:val="0"/>
              <w:adjustRightInd w:val="0"/>
              <w:snapToGrid/>
              <w:spacing w:line="28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评分要求(X)</w:t>
            </w:r>
          </w:p>
        </w:tc>
        <w:tc>
          <w:tcPr>
            <w:tcW w:w="10465" w:type="dxa"/>
            <w:vAlign w:val="center"/>
          </w:tcPr>
          <w:p>
            <w:pPr>
              <w:keepNext w:val="0"/>
              <w:keepLines w:val="0"/>
              <w:pageBreakBefore w:val="0"/>
              <w:widowControl w:val="0"/>
              <w:kinsoku/>
              <w:wordWrap/>
              <w:overflowPunct/>
              <w:topLinePunct w:val="0"/>
              <w:autoSpaceDE/>
              <w:autoSpaceDN/>
              <w:bidi w:val="0"/>
              <w:adjustRightInd w:val="0"/>
              <w:snapToGrid/>
              <w:spacing w:line="28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项目数量及合同额要求</w:t>
            </w:r>
          </w:p>
        </w:tc>
        <w:tc>
          <w:tcPr>
            <w:tcW w:w="1347" w:type="dxa"/>
            <w:vAlign w:val="center"/>
          </w:tcPr>
          <w:p>
            <w:pPr>
              <w:keepNext w:val="0"/>
              <w:keepLines w:val="0"/>
              <w:pageBreakBefore w:val="0"/>
              <w:widowControl w:val="0"/>
              <w:kinsoku/>
              <w:wordWrap/>
              <w:overflowPunct/>
              <w:topLinePunct w:val="0"/>
              <w:autoSpaceDE/>
              <w:autoSpaceDN/>
              <w:bidi w:val="0"/>
              <w:adjustRightInd w:val="0"/>
              <w:snapToGrid/>
              <w:spacing w:line="28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其他要求</w:t>
            </w:r>
          </w:p>
        </w:tc>
        <w:tc>
          <w:tcPr>
            <w:tcW w:w="825" w:type="dxa"/>
            <w:vAlign w:val="center"/>
          </w:tcPr>
          <w:p>
            <w:pPr>
              <w:keepNext w:val="0"/>
              <w:keepLines w:val="0"/>
              <w:pageBreakBefore w:val="0"/>
              <w:widowControl w:val="0"/>
              <w:kinsoku/>
              <w:wordWrap/>
              <w:overflowPunct/>
              <w:topLinePunct w:val="0"/>
              <w:autoSpaceDE/>
              <w:autoSpaceDN/>
              <w:bidi w:val="0"/>
              <w:adjustRightInd w:val="0"/>
              <w:snapToGrid/>
              <w:spacing w:line="28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评价结论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adjustRightInd w:val="0"/>
              <w:spacing w:line="360" w:lineRule="auto"/>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AA</w:t>
            </w:r>
          </w:p>
        </w:tc>
        <w:tc>
          <w:tcPr>
            <w:tcW w:w="1113" w:type="dxa"/>
            <w:vAlign w:val="center"/>
          </w:tcPr>
          <w:p>
            <w:pPr>
              <w:keepNext w:val="0"/>
              <w:keepLines w:val="0"/>
              <w:pageBreakBefore w:val="0"/>
              <w:widowControl w:val="0"/>
              <w:kinsoku/>
              <w:wordWrap/>
              <w:overflowPunct/>
              <w:topLinePunct w:val="0"/>
              <w:autoSpaceDE/>
              <w:autoSpaceDN/>
              <w:bidi w:val="0"/>
              <w:adjustRightInd w:val="0"/>
              <w:snapToGrid w:val="0"/>
              <w:spacing w:line="26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X≥95分</w:t>
            </w:r>
          </w:p>
        </w:tc>
        <w:tc>
          <w:tcPr>
            <w:tcW w:w="10465" w:type="dxa"/>
            <w:vAlign w:val="center"/>
          </w:tcPr>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①评价年度内有3个及以上广东省内从业项目合同段参与评价，且水运施工合同总额超过1.5亿元；</w:t>
            </w:r>
          </w:p>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或，有1个及以上广东省内从业项目合同段参与评价，且水运施工合同总额超过2.0亿元。</w:t>
            </w:r>
          </w:p>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rPr>
              <w:t>②</w:t>
            </w:r>
            <w:r>
              <w:rPr>
                <w:rFonts w:hint="eastAsia" w:ascii="仿宋" w:hAnsi="仿宋" w:eastAsia="仿宋" w:cs="仿宋"/>
                <w:color w:val="auto"/>
                <w:kern w:val="0"/>
                <w:sz w:val="21"/>
                <w:szCs w:val="21"/>
                <w:lang w:val="en-US" w:eastAsia="zh-CN"/>
              </w:rPr>
              <w:t>如评价年度较上一评价年度符合AA级施工合同额要求的单位减少20%，则评价年度AA级施工合同额的要求降低20%，其他不变。</w:t>
            </w:r>
          </w:p>
        </w:tc>
        <w:tc>
          <w:tcPr>
            <w:tcW w:w="1347" w:type="dxa"/>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上述①、②、③项中的参与评价的施工项目需同时满足开工3个月以上（以合同段开工令签发日期为准）。</w:t>
            </w:r>
          </w:p>
        </w:tc>
        <w:tc>
          <w:tcPr>
            <w:tcW w:w="825" w:type="dxa"/>
            <w:vAlign w:val="center"/>
          </w:tcPr>
          <w:p>
            <w:pPr>
              <w:adjustRightIn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adjustRightInd w:val="0"/>
              <w:snapToGri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A</w:t>
            </w:r>
          </w:p>
        </w:tc>
        <w:tc>
          <w:tcPr>
            <w:tcW w:w="1113" w:type="dxa"/>
            <w:vAlign w:val="center"/>
          </w:tcPr>
          <w:p>
            <w:pPr>
              <w:keepNext w:val="0"/>
              <w:keepLines w:val="0"/>
              <w:pageBreakBefore w:val="0"/>
              <w:widowControl w:val="0"/>
              <w:kinsoku/>
              <w:wordWrap/>
              <w:overflowPunct/>
              <w:topLinePunct w:val="0"/>
              <w:autoSpaceDE/>
              <w:autoSpaceDN/>
              <w:bidi w:val="0"/>
              <w:adjustRightInd w:val="0"/>
              <w:snapToGrid w:val="0"/>
              <w:spacing w:line="26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X≥85分</w:t>
            </w:r>
          </w:p>
        </w:tc>
        <w:tc>
          <w:tcPr>
            <w:tcW w:w="10465" w:type="dxa"/>
            <w:vAlign w:val="center"/>
          </w:tcPr>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lang w:eastAsia="zh-CN"/>
              </w:rPr>
              <w:t>①评价年度内有2个及以上广东省内从业项目合同段参与评价，且水运施工合同总额超过1.2亿元；或者有1个广东省内从业项目合同段参与评价，且水运施工合同总额超过1.5亿元。</w:t>
            </w:r>
          </w:p>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eastAsia="zh-CN"/>
              </w:rPr>
              <w:t>②</w:t>
            </w:r>
            <w:r>
              <w:rPr>
                <w:rFonts w:hint="eastAsia" w:ascii="仿宋" w:hAnsi="仿宋" w:eastAsia="仿宋" w:cs="仿宋"/>
                <w:color w:val="auto"/>
                <w:kern w:val="0"/>
                <w:sz w:val="21"/>
                <w:szCs w:val="21"/>
                <w:lang w:val="en-US" w:eastAsia="zh-CN"/>
              </w:rPr>
              <w:t>如评价年度较上一评价年度符合A级施工合同额要求的单位减少20%，则评价年度A级施工合同额的要求降低20%，其他不变。</w:t>
            </w:r>
          </w:p>
        </w:tc>
        <w:tc>
          <w:tcPr>
            <w:tcW w:w="1347" w:type="dxa"/>
            <w:vAlign w:val="center"/>
          </w:tcPr>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lang w:eastAsia="zh-CN"/>
              </w:rPr>
            </w:pPr>
            <w:r>
              <w:rPr>
                <w:rFonts w:hint="eastAsia" w:ascii="仿宋" w:hAnsi="仿宋" w:eastAsia="仿宋" w:cs="仿宋"/>
                <w:color w:val="auto"/>
                <w:kern w:val="0"/>
                <w:sz w:val="21"/>
                <w:szCs w:val="21"/>
              </w:rPr>
              <w:t>上述①、②、③项中的参与评价的施工项目需同时满足开工3个月以上（以合同段开工令签发日期为准）。</w:t>
            </w:r>
          </w:p>
        </w:tc>
        <w:tc>
          <w:tcPr>
            <w:tcW w:w="825" w:type="dxa"/>
            <w:vAlign w:val="center"/>
          </w:tcPr>
          <w:p>
            <w:pPr>
              <w:adjustRightInd w:val="0"/>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信用较好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B</w:t>
            </w:r>
          </w:p>
        </w:tc>
        <w:tc>
          <w:tcPr>
            <w:tcW w:w="1113" w:type="dxa"/>
            <w:vAlign w:val="center"/>
          </w:tcPr>
          <w:p>
            <w:pPr>
              <w:keepNext w:val="0"/>
              <w:keepLines w:val="0"/>
              <w:pageBreakBefore w:val="0"/>
              <w:widowControl w:val="0"/>
              <w:kinsoku/>
              <w:wordWrap/>
              <w:overflowPunct/>
              <w:topLinePunct w:val="0"/>
              <w:autoSpaceDE/>
              <w:autoSpaceDN/>
              <w:bidi w:val="0"/>
              <w:adjustRightInd w:val="0"/>
              <w:snapToGri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75分≤X＜85分</w:t>
            </w:r>
          </w:p>
        </w:tc>
        <w:tc>
          <w:tcPr>
            <w:tcW w:w="11812" w:type="dxa"/>
            <w:gridSpan w:val="2"/>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或75分≤X，但其他条件要求不能满足AA、A级要求。</w:t>
            </w:r>
          </w:p>
        </w:tc>
        <w:tc>
          <w:tcPr>
            <w:tcW w:w="825" w:type="dxa"/>
            <w:vAlign w:val="center"/>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top"/>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C</w:t>
            </w:r>
          </w:p>
        </w:tc>
        <w:tc>
          <w:tcPr>
            <w:tcW w:w="1113" w:type="dxa"/>
            <w:vAlign w:val="top"/>
          </w:tcPr>
          <w:p>
            <w:pPr>
              <w:keepNext w:val="0"/>
              <w:keepLines w:val="0"/>
              <w:pageBreakBefore w:val="0"/>
              <w:widowControl w:val="0"/>
              <w:kinsoku/>
              <w:wordWrap/>
              <w:overflowPunct/>
              <w:topLinePunct w:val="0"/>
              <w:autoSpaceDE/>
              <w:autoSpaceDN/>
              <w:bidi w:val="0"/>
              <w:adjustRightInd w:val="0"/>
              <w:snapToGrid w:val="0"/>
              <w:spacing w:line="260" w:lineRule="exact"/>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60分≤X＜75分</w:t>
            </w:r>
          </w:p>
        </w:tc>
        <w:tc>
          <w:tcPr>
            <w:tcW w:w="11812" w:type="dxa"/>
            <w:gridSpan w:val="2"/>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w:t>
            </w:r>
            <w:r>
              <w:rPr>
                <w:rFonts w:hint="eastAsia" w:ascii="仿宋" w:hAnsi="仿宋" w:eastAsia="仿宋" w:cs="仿宋"/>
                <w:color w:val="auto"/>
                <w:kern w:val="0"/>
                <w:sz w:val="21"/>
                <w:szCs w:val="21"/>
                <w:lang w:val="en-US" w:eastAsia="zh-CN"/>
              </w:rPr>
              <w:t>C</w:t>
            </w:r>
            <w:r>
              <w:rPr>
                <w:rFonts w:hint="eastAsia" w:ascii="仿宋" w:hAnsi="仿宋" w:eastAsia="仿宋" w:cs="仿宋"/>
                <w:color w:val="auto"/>
                <w:kern w:val="0"/>
                <w:sz w:val="21"/>
                <w:szCs w:val="21"/>
              </w:rPr>
              <w:t>级的失信行为</w:t>
            </w:r>
          </w:p>
        </w:tc>
        <w:tc>
          <w:tcPr>
            <w:tcW w:w="825" w:type="dxa"/>
            <w:vAlign w:val="top"/>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信用较差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D</w:t>
            </w:r>
          </w:p>
        </w:tc>
        <w:tc>
          <w:tcPr>
            <w:tcW w:w="1113" w:type="dxa"/>
            <w:vAlign w:val="center"/>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X＜60</w:t>
            </w:r>
          </w:p>
        </w:tc>
        <w:tc>
          <w:tcPr>
            <w:tcW w:w="11812" w:type="dxa"/>
            <w:gridSpan w:val="2"/>
            <w:vAlign w:val="center"/>
          </w:tcPr>
          <w:p>
            <w:pPr>
              <w:adjustRightInd w:val="0"/>
              <w:spacing w:line="40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或者存在直接定为D级的失信行为</w:t>
            </w:r>
          </w:p>
        </w:tc>
        <w:tc>
          <w:tcPr>
            <w:tcW w:w="825" w:type="dxa"/>
            <w:vAlign w:val="center"/>
          </w:tcPr>
          <w:p>
            <w:pPr>
              <w:adjustRightInd w:val="0"/>
              <w:snapToGri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信用差</w:t>
            </w:r>
          </w:p>
        </w:tc>
      </w:tr>
    </w:tbl>
    <w:p>
      <w:pPr>
        <w:adjustRightInd w:val="0"/>
        <w:ind w:firstLine="360" w:firstLineChars="150"/>
        <w:jc w:val="center"/>
        <w:rPr>
          <w:rFonts w:hint="eastAsia" w:ascii="华文中宋" w:hAnsi="华文中宋" w:eastAsia="华文中宋" w:cs="华文中宋"/>
          <w:color w:val="auto"/>
          <w:kern w:val="0"/>
          <w:sz w:val="24"/>
          <w:szCs w:val="24"/>
        </w:rPr>
      </w:pPr>
    </w:p>
    <w:p>
      <w:pPr>
        <w:adjustRightInd w:val="0"/>
        <w:ind w:firstLine="360" w:firstLineChars="150"/>
        <w:jc w:val="center"/>
        <w:rPr>
          <w:rFonts w:hint="eastAsia" w:ascii="华文中宋" w:hAnsi="华文中宋" w:eastAsia="华文中宋" w:cs="华文中宋"/>
          <w:color w:val="auto"/>
          <w:kern w:val="0"/>
          <w:sz w:val="24"/>
          <w:szCs w:val="24"/>
        </w:rPr>
      </w:pPr>
    </w:p>
    <w:p>
      <w:pPr>
        <w:adjustRightInd w:val="0"/>
        <w:ind w:firstLine="360" w:firstLineChars="150"/>
        <w:jc w:val="center"/>
        <w:rPr>
          <w:rFonts w:hint="eastAsia" w:ascii="华文中宋" w:hAnsi="华文中宋" w:eastAsia="华文中宋" w:cs="华文中宋"/>
          <w:color w:val="auto"/>
          <w:kern w:val="0"/>
          <w:sz w:val="24"/>
          <w:szCs w:val="24"/>
        </w:rPr>
      </w:pPr>
    </w:p>
    <w:p>
      <w:pPr>
        <w:adjustRightInd w:val="0"/>
        <w:ind w:firstLine="360" w:firstLineChars="150"/>
        <w:jc w:val="center"/>
        <w:rPr>
          <w:rFonts w:hint="eastAsia" w:ascii="华文中宋" w:hAnsi="华文中宋" w:eastAsia="华文中宋" w:cs="华文中宋"/>
          <w:color w:val="auto"/>
          <w:kern w:val="0"/>
          <w:sz w:val="24"/>
          <w:szCs w:val="24"/>
        </w:rPr>
        <w:sectPr>
          <w:pgSz w:w="16838" w:h="11906" w:orient="landscape"/>
          <w:pgMar w:top="607" w:right="720" w:bottom="607" w:left="720" w:header="851" w:footer="992" w:gutter="0"/>
          <w:pgNumType w:fmt="decimal"/>
          <w:cols w:space="720" w:num="1"/>
          <w:rtlGutter w:val="0"/>
          <w:docGrid w:type="lines" w:linePitch="312" w:charSpace="0"/>
        </w:sectPr>
      </w:pPr>
    </w:p>
    <w:p>
      <w:pPr>
        <w:adjustRightInd w:val="0"/>
        <w:ind w:firstLine="420" w:firstLineChars="150"/>
        <w:jc w:val="center"/>
        <w:rPr>
          <w:rFonts w:hint="eastAsia" w:ascii="华文中宋" w:hAnsi="华文中宋" w:eastAsia="华文中宋" w:cs="华文中宋"/>
          <w:color w:val="auto"/>
          <w:kern w:val="0"/>
          <w:sz w:val="28"/>
          <w:szCs w:val="28"/>
        </w:rPr>
      </w:pPr>
      <w:r>
        <w:rPr>
          <w:rFonts w:hint="eastAsia" w:ascii="华文中宋" w:hAnsi="华文中宋" w:eastAsia="华文中宋" w:cs="华文中宋"/>
          <w:color w:val="auto"/>
          <w:kern w:val="0"/>
          <w:sz w:val="28"/>
          <w:szCs w:val="28"/>
        </w:rPr>
        <w:t>三、</w:t>
      </w:r>
      <w:r>
        <w:rPr>
          <w:rFonts w:hint="eastAsia" w:ascii="华文中宋" w:hAnsi="华文中宋" w:eastAsia="华文中宋" w:cs="华文中宋"/>
          <w:color w:val="auto"/>
          <w:kern w:val="0"/>
          <w:sz w:val="28"/>
          <w:szCs w:val="28"/>
          <w:lang w:eastAsia="zh-CN"/>
        </w:rPr>
        <w:t>水运</w:t>
      </w:r>
      <w:r>
        <w:rPr>
          <w:rFonts w:hint="eastAsia" w:ascii="华文中宋" w:hAnsi="华文中宋" w:eastAsia="华文中宋" w:cs="华文中宋"/>
          <w:color w:val="auto"/>
          <w:kern w:val="0"/>
          <w:sz w:val="28"/>
          <w:szCs w:val="28"/>
        </w:rPr>
        <w:t>工程监理企业信用评价等级标准</w:t>
      </w:r>
    </w:p>
    <w:tbl>
      <w:tblPr>
        <w:tblStyle w:val="6"/>
        <w:tblW w:w="145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13"/>
        <w:gridCol w:w="7975"/>
        <w:gridCol w:w="3837"/>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adjustRightInd w:val="0"/>
              <w:spacing w:line="36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信用</w:t>
            </w:r>
          </w:p>
          <w:p>
            <w:pPr>
              <w:adjustRightInd w:val="0"/>
              <w:spacing w:line="36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等级</w:t>
            </w:r>
          </w:p>
        </w:tc>
        <w:tc>
          <w:tcPr>
            <w:tcW w:w="1113" w:type="dxa"/>
            <w:vAlign w:val="center"/>
          </w:tcPr>
          <w:p>
            <w:pPr>
              <w:adjustRightInd w:val="0"/>
              <w:spacing w:line="36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评分要求(X)</w:t>
            </w:r>
          </w:p>
        </w:tc>
        <w:tc>
          <w:tcPr>
            <w:tcW w:w="7975" w:type="dxa"/>
            <w:vAlign w:val="center"/>
          </w:tcPr>
          <w:p>
            <w:pPr>
              <w:adjustRightInd w:val="0"/>
              <w:spacing w:line="36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项目数量及合同额要求</w:t>
            </w:r>
          </w:p>
        </w:tc>
        <w:tc>
          <w:tcPr>
            <w:tcW w:w="3837" w:type="dxa"/>
            <w:vAlign w:val="center"/>
          </w:tcPr>
          <w:p>
            <w:pPr>
              <w:adjustRightInd w:val="0"/>
              <w:spacing w:line="36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其他要求</w:t>
            </w:r>
          </w:p>
        </w:tc>
        <w:tc>
          <w:tcPr>
            <w:tcW w:w="825" w:type="dxa"/>
            <w:vAlign w:val="center"/>
          </w:tcPr>
          <w:p>
            <w:pPr>
              <w:adjustRightInd w:val="0"/>
              <w:spacing w:line="36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评价结论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48" w:hRule="atLeast"/>
          <w:jc w:val="center"/>
        </w:trPr>
        <w:tc>
          <w:tcPr>
            <w:tcW w:w="825" w:type="dxa"/>
            <w:vAlign w:val="center"/>
          </w:tcPr>
          <w:p>
            <w:pPr>
              <w:adjustRightInd w:val="0"/>
              <w:spacing w:line="360" w:lineRule="auto"/>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AA</w:t>
            </w:r>
          </w:p>
        </w:tc>
        <w:tc>
          <w:tcPr>
            <w:tcW w:w="1113" w:type="dxa"/>
            <w:vAlign w:val="center"/>
          </w:tcPr>
          <w:p>
            <w:pPr>
              <w:adjustRightInd w:val="0"/>
              <w:snapToGrid w:val="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X≥95分</w:t>
            </w:r>
          </w:p>
        </w:tc>
        <w:tc>
          <w:tcPr>
            <w:tcW w:w="7975" w:type="dxa"/>
            <w:vAlign w:val="center"/>
          </w:tcPr>
          <w:p>
            <w:pPr>
              <w:adjustRightInd w:val="0"/>
              <w:snapToGrid w:val="0"/>
              <w:rPr>
                <w:rFonts w:hint="eastAsia" w:ascii="仿宋" w:hAnsi="仿宋" w:eastAsia="仿宋" w:cs="仿宋"/>
                <w:color w:val="auto"/>
                <w:kern w:val="0"/>
                <w:sz w:val="24"/>
                <w:szCs w:val="24"/>
              </w:rPr>
            </w:pPr>
            <w:r>
              <w:rPr>
                <w:rFonts w:hint="eastAsia" w:ascii="仿宋" w:hAnsi="仿宋" w:eastAsia="仿宋" w:cs="仿宋"/>
                <w:color w:val="auto"/>
                <w:kern w:val="0"/>
                <w:sz w:val="21"/>
                <w:szCs w:val="21"/>
              </w:rPr>
              <w:t>①</w:t>
            </w:r>
            <w:r>
              <w:rPr>
                <w:rFonts w:hint="eastAsia" w:ascii="仿宋" w:hAnsi="仿宋" w:eastAsia="仿宋" w:cs="仿宋"/>
                <w:color w:val="auto"/>
                <w:kern w:val="0"/>
                <w:sz w:val="24"/>
                <w:szCs w:val="24"/>
              </w:rPr>
              <w:t>评价年度内有3个及以上广东省内从业项目合同段参与评价，且水运监理合同总额超过0.1亿元。</w:t>
            </w:r>
          </w:p>
          <w:p>
            <w:pPr>
              <w:adjustRightInd w:val="0"/>
              <w:snapToGrid w:val="0"/>
              <w:rPr>
                <w:rFonts w:hint="eastAsia" w:ascii="仿宋" w:hAnsi="仿宋" w:eastAsia="仿宋" w:cs="仿宋"/>
                <w:color w:val="auto"/>
                <w:kern w:val="0"/>
                <w:sz w:val="24"/>
                <w:szCs w:val="24"/>
              </w:rPr>
            </w:pPr>
            <w:r>
              <w:rPr>
                <w:rFonts w:hint="eastAsia" w:ascii="仿宋" w:hAnsi="仿宋" w:eastAsia="仿宋" w:cs="仿宋"/>
                <w:color w:val="auto"/>
                <w:kern w:val="0"/>
                <w:sz w:val="21"/>
                <w:szCs w:val="21"/>
              </w:rPr>
              <w:t>②</w:t>
            </w:r>
            <w:r>
              <w:rPr>
                <w:rFonts w:hint="eastAsia" w:ascii="仿宋" w:hAnsi="仿宋" w:eastAsia="仿宋" w:cs="仿宋"/>
                <w:color w:val="auto"/>
                <w:kern w:val="0"/>
                <w:sz w:val="21"/>
                <w:szCs w:val="21"/>
                <w:lang w:val="en-US" w:eastAsia="zh-CN"/>
              </w:rPr>
              <w:t>如评价年度较上一评价年度符合AA级监理合同额要求的单位减少20%，则评价年度AA级监理合同额的要求降低20%，其他不变。</w:t>
            </w:r>
          </w:p>
        </w:tc>
        <w:tc>
          <w:tcPr>
            <w:tcW w:w="3837" w:type="dxa"/>
            <w:vAlign w:val="center"/>
          </w:tcPr>
          <w:p>
            <w:pPr>
              <w:adjustRightInd w:val="0"/>
              <w:snapToGrid w:val="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上述参与评价的项目要求开工3个月以上（以所监理的施工合同段开工令签发日期为准）。</w:t>
            </w:r>
          </w:p>
        </w:tc>
        <w:tc>
          <w:tcPr>
            <w:tcW w:w="825" w:type="dxa"/>
            <w:vAlign w:val="center"/>
          </w:tcPr>
          <w:p>
            <w:pPr>
              <w:adjustRightInd w:val="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信用好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0" w:hRule="atLeast"/>
          <w:jc w:val="center"/>
        </w:trPr>
        <w:tc>
          <w:tcPr>
            <w:tcW w:w="825" w:type="dxa"/>
            <w:vAlign w:val="center"/>
          </w:tcPr>
          <w:p>
            <w:pPr>
              <w:adjustRightInd w:val="0"/>
              <w:snapToGrid w:val="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A</w:t>
            </w:r>
          </w:p>
        </w:tc>
        <w:tc>
          <w:tcPr>
            <w:tcW w:w="1113" w:type="dxa"/>
            <w:vAlign w:val="center"/>
          </w:tcPr>
          <w:p>
            <w:pPr>
              <w:adjustRightInd w:val="0"/>
              <w:snapToGrid w:val="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X≥85分</w:t>
            </w:r>
          </w:p>
        </w:tc>
        <w:tc>
          <w:tcPr>
            <w:tcW w:w="7975" w:type="dxa"/>
            <w:vAlign w:val="center"/>
          </w:tcPr>
          <w:p>
            <w:pPr>
              <w:adjustRightInd w:val="0"/>
              <w:snapToGrid w:val="0"/>
              <w:spacing w:line="300" w:lineRule="exact"/>
              <w:rPr>
                <w:rFonts w:hint="eastAsia" w:ascii="仿宋" w:hAnsi="仿宋" w:eastAsia="仿宋" w:cs="仿宋"/>
                <w:color w:val="auto"/>
                <w:kern w:val="0"/>
                <w:sz w:val="24"/>
                <w:szCs w:val="24"/>
              </w:rPr>
            </w:pPr>
            <w:r>
              <w:rPr>
                <w:rFonts w:hint="eastAsia" w:ascii="仿宋" w:hAnsi="仿宋" w:eastAsia="仿宋" w:cs="仿宋"/>
                <w:color w:val="auto"/>
                <w:kern w:val="0"/>
                <w:sz w:val="21"/>
                <w:szCs w:val="21"/>
              </w:rPr>
              <w:t>①</w:t>
            </w:r>
            <w:r>
              <w:rPr>
                <w:rFonts w:hint="eastAsia" w:ascii="仿宋" w:hAnsi="仿宋" w:eastAsia="仿宋" w:cs="仿宋"/>
                <w:color w:val="auto"/>
                <w:kern w:val="0"/>
                <w:sz w:val="24"/>
                <w:szCs w:val="24"/>
              </w:rPr>
              <w:t>评价年度内有2个及以上广东省内从业项目合同段参与评价，且水运监理合同总额超过0.08亿元。</w:t>
            </w:r>
          </w:p>
          <w:p>
            <w:pPr>
              <w:adjustRightInd w:val="0"/>
              <w:snapToGrid w:val="0"/>
              <w:spacing w:line="300" w:lineRule="exact"/>
              <w:rPr>
                <w:rFonts w:hint="eastAsia" w:ascii="仿宋" w:hAnsi="仿宋" w:eastAsia="仿宋" w:cs="仿宋"/>
                <w:color w:val="auto"/>
                <w:kern w:val="0"/>
                <w:sz w:val="24"/>
                <w:szCs w:val="24"/>
              </w:rPr>
            </w:pPr>
            <w:r>
              <w:rPr>
                <w:rFonts w:hint="eastAsia" w:ascii="仿宋" w:hAnsi="仿宋" w:eastAsia="仿宋" w:cs="仿宋"/>
                <w:color w:val="auto"/>
                <w:kern w:val="0"/>
                <w:sz w:val="21"/>
                <w:szCs w:val="21"/>
              </w:rPr>
              <w:t>②</w:t>
            </w:r>
            <w:r>
              <w:rPr>
                <w:rFonts w:hint="eastAsia" w:ascii="仿宋" w:hAnsi="仿宋" w:eastAsia="仿宋" w:cs="仿宋"/>
                <w:color w:val="auto"/>
                <w:kern w:val="0"/>
                <w:sz w:val="21"/>
                <w:szCs w:val="21"/>
                <w:lang w:val="en-US" w:eastAsia="zh-CN"/>
              </w:rPr>
              <w:t>如评价年度较上一评价年度符合A级监理合同额要求的单位减少20%，则评价年度A级监理合同额的要求降低20%，其他不变。</w:t>
            </w:r>
          </w:p>
        </w:tc>
        <w:tc>
          <w:tcPr>
            <w:tcW w:w="3837" w:type="dxa"/>
            <w:vAlign w:val="center"/>
          </w:tcPr>
          <w:p>
            <w:pPr>
              <w:adjustRightInd w:val="0"/>
              <w:spacing w:line="320" w:lineRule="exac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上述参与评价的项目要求开工3个月以上（以所监理的施工合同段开工令签发日期为准）。</w:t>
            </w:r>
          </w:p>
        </w:tc>
        <w:tc>
          <w:tcPr>
            <w:tcW w:w="825"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信用较好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5" w:hRule="atLeast"/>
          <w:jc w:val="center"/>
        </w:trPr>
        <w:tc>
          <w:tcPr>
            <w:tcW w:w="825"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B</w:t>
            </w:r>
          </w:p>
        </w:tc>
        <w:tc>
          <w:tcPr>
            <w:tcW w:w="1113" w:type="dxa"/>
            <w:vAlign w:val="center"/>
          </w:tcPr>
          <w:p>
            <w:pPr>
              <w:adjustRightInd w:val="0"/>
              <w:snapToGrid w:val="0"/>
              <w:spacing w:line="300" w:lineRule="exact"/>
              <w:rPr>
                <w:rFonts w:hint="eastAsia" w:ascii="仿宋" w:hAnsi="仿宋" w:eastAsia="仿宋" w:cs="仿宋"/>
                <w:color w:val="auto"/>
                <w:kern w:val="0"/>
                <w:sz w:val="24"/>
                <w:szCs w:val="24"/>
              </w:rPr>
            </w:pPr>
            <w:r>
              <w:rPr>
                <w:rFonts w:hint="eastAsia" w:ascii="仿宋" w:hAnsi="仿宋" w:eastAsia="仿宋" w:cs="仿宋"/>
                <w:color w:val="auto"/>
                <w:kern w:val="0"/>
                <w:sz w:val="21"/>
                <w:szCs w:val="21"/>
              </w:rPr>
              <w:t>75分≤X＜85分</w:t>
            </w:r>
          </w:p>
        </w:tc>
        <w:tc>
          <w:tcPr>
            <w:tcW w:w="11812" w:type="dxa"/>
            <w:gridSpan w:val="2"/>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或75分≤X，但其他条件要求不能满足AA、A级要求。</w:t>
            </w:r>
          </w:p>
        </w:tc>
        <w:tc>
          <w:tcPr>
            <w:tcW w:w="825"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信用一般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2" w:hRule="atLeast"/>
          <w:jc w:val="center"/>
        </w:trPr>
        <w:tc>
          <w:tcPr>
            <w:tcW w:w="825"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C</w:t>
            </w:r>
          </w:p>
        </w:tc>
        <w:tc>
          <w:tcPr>
            <w:tcW w:w="1113"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60分≤X＜75分</w:t>
            </w:r>
          </w:p>
        </w:tc>
        <w:tc>
          <w:tcPr>
            <w:tcW w:w="11812" w:type="dxa"/>
            <w:gridSpan w:val="2"/>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w:t>
            </w:r>
            <w:r>
              <w:rPr>
                <w:rFonts w:hint="eastAsia" w:ascii="仿宋" w:hAnsi="仿宋" w:eastAsia="仿宋" w:cs="仿宋"/>
                <w:color w:val="auto"/>
                <w:kern w:val="0"/>
                <w:sz w:val="21"/>
                <w:szCs w:val="21"/>
                <w:lang w:val="en-US" w:eastAsia="zh-CN"/>
              </w:rPr>
              <w:t>C</w:t>
            </w:r>
            <w:r>
              <w:rPr>
                <w:rFonts w:hint="eastAsia" w:ascii="仿宋" w:hAnsi="仿宋" w:eastAsia="仿宋" w:cs="仿宋"/>
                <w:color w:val="auto"/>
                <w:kern w:val="0"/>
                <w:sz w:val="21"/>
                <w:szCs w:val="21"/>
              </w:rPr>
              <w:t>级的失信行为</w:t>
            </w:r>
          </w:p>
        </w:tc>
        <w:tc>
          <w:tcPr>
            <w:tcW w:w="825"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信用较差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25"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D</w:t>
            </w:r>
          </w:p>
        </w:tc>
        <w:tc>
          <w:tcPr>
            <w:tcW w:w="1113" w:type="dxa"/>
            <w:vAlign w:val="center"/>
          </w:tcPr>
          <w:p>
            <w:pPr>
              <w:adjustRightInd w:val="0"/>
              <w:snapToGrid w:val="0"/>
              <w:spacing w:line="32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X＜60</w:t>
            </w:r>
          </w:p>
        </w:tc>
        <w:tc>
          <w:tcPr>
            <w:tcW w:w="11812" w:type="dxa"/>
            <w:gridSpan w:val="2"/>
            <w:vAlign w:val="center"/>
          </w:tcPr>
          <w:p>
            <w:pPr>
              <w:adjustRightInd w:val="0"/>
              <w:spacing w:line="400" w:lineRule="exact"/>
              <w:rPr>
                <w:rFonts w:hint="eastAsia" w:ascii="仿宋" w:hAnsi="仿宋" w:eastAsia="仿宋" w:cs="仿宋"/>
                <w:color w:val="auto"/>
                <w:kern w:val="0"/>
                <w:sz w:val="24"/>
                <w:szCs w:val="24"/>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或者存在直接定为D级的失信行为</w:t>
            </w:r>
          </w:p>
        </w:tc>
        <w:tc>
          <w:tcPr>
            <w:tcW w:w="825" w:type="dxa"/>
            <w:vAlign w:val="center"/>
          </w:tcPr>
          <w:p>
            <w:pPr>
              <w:adjustRightInd w:val="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信用差</w:t>
            </w:r>
          </w:p>
        </w:tc>
      </w:tr>
    </w:tbl>
    <w:p>
      <w:pPr>
        <w:adjustRightInd w:val="0"/>
        <w:spacing w:line="360" w:lineRule="auto"/>
        <w:ind w:firstLine="360" w:firstLineChars="150"/>
        <w:jc w:val="center"/>
        <w:rPr>
          <w:rFonts w:hint="eastAsia" w:ascii="仿宋_GB2312" w:hAnsi="宋体" w:cs="仿宋_GB2312"/>
          <w:color w:val="auto"/>
          <w:kern w:val="0"/>
          <w:sz w:val="24"/>
          <w:szCs w:val="24"/>
        </w:rPr>
      </w:pPr>
    </w:p>
    <w:p>
      <w:pPr>
        <w:adjustRightInd w:val="0"/>
        <w:spacing w:line="360" w:lineRule="auto"/>
        <w:ind w:firstLine="420" w:firstLineChars="150"/>
        <w:rPr>
          <w:rFonts w:ascii="黑体" w:hAnsi="Arial" w:eastAsia="黑体" w:cs="仿宋_GB2312"/>
          <w:bCs/>
          <w:color w:val="auto"/>
          <w:spacing w:val="-20"/>
          <w:kern w:val="0"/>
          <w:szCs w:val="32"/>
        </w:rPr>
        <w:sectPr>
          <w:pgSz w:w="16838" w:h="11906" w:orient="landscape"/>
          <w:pgMar w:top="607" w:right="720" w:bottom="607" w:left="720" w:header="851" w:footer="992" w:gutter="0"/>
          <w:pgNumType w:fmt="decimal"/>
          <w:cols w:space="720" w:num="1"/>
          <w:rtlGutter w:val="0"/>
          <w:docGrid w:type="lines" w:linePitch="312" w:charSpace="0"/>
        </w:sectPr>
      </w:pPr>
    </w:p>
    <w:tbl>
      <w:tblPr>
        <w:tblStyle w:val="6"/>
        <w:tblpPr w:leftFromText="180" w:rightFromText="180" w:vertAnchor="text" w:horzAnchor="page" w:tblpXSpec="center" w:tblpY="625"/>
        <w:tblOverlap w:val="never"/>
        <w:tblW w:w="1457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2"/>
        <w:gridCol w:w="1906"/>
        <w:gridCol w:w="6087"/>
        <w:gridCol w:w="4150"/>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82" w:type="dxa"/>
            <w:vAlign w:val="center"/>
          </w:tcPr>
          <w:p>
            <w:pPr>
              <w:adjustRightInd w:val="0"/>
              <w:spacing w:line="36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w:t>
            </w:r>
          </w:p>
          <w:p>
            <w:pPr>
              <w:adjustRightInd w:val="0"/>
              <w:spacing w:line="36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等级</w:t>
            </w:r>
          </w:p>
        </w:tc>
        <w:tc>
          <w:tcPr>
            <w:tcW w:w="1906" w:type="dxa"/>
            <w:vAlign w:val="center"/>
          </w:tcPr>
          <w:p>
            <w:pPr>
              <w:adjustRightInd w:val="0"/>
              <w:spacing w:line="36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评分要求(X)</w:t>
            </w:r>
          </w:p>
        </w:tc>
        <w:tc>
          <w:tcPr>
            <w:tcW w:w="6087" w:type="dxa"/>
            <w:vAlign w:val="center"/>
          </w:tcPr>
          <w:p>
            <w:pPr>
              <w:adjustRightInd w:val="0"/>
              <w:spacing w:line="36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项目数量及合同额要求</w:t>
            </w:r>
          </w:p>
        </w:tc>
        <w:tc>
          <w:tcPr>
            <w:tcW w:w="4150" w:type="dxa"/>
            <w:vAlign w:val="center"/>
          </w:tcPr>
          <w:p>
            <w:pPr>
              <w:adjustRightInd w:val="0"/>
              <w:spacing w:line="36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其他要求</w:t>
            </w:r>
          </w:p>
        </w:tc>
        <w:tc>
          <w:tcPr>
            <w:tcW w:w="1350" w:type="dxa"/>
            <w:vAlign w:val="center"/>
          </w:tcPr>
          <w:p>
            <w:pPr>
              <w:adjustRightInd w:val="0"/>
              <w:spacing w:line="36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评价结论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05" w:hRule="atLeast"/>
          <w:jc w:val="center"/>
        </w:trPr>
        <w:tc>
          <w:tcPr>
            <w:tcW w:w="1082"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AA</w:t>
            </w:r>
          </w:p>
        </w:tc>
        <w:tc>
          <w:tcPr>
            <w:tcW w:w="1906"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X≥95分</w:t>
            </w:r>
          </w:p>
        </w:tc>
        <w:tc>
          <w:tcPr>
            <w:tcW w:w="6087" w:type="dxa"/>
            <w:vAlign w:val="center"/>
          </w:tcPr>
          <w:p>
            <w:pPr>
              <w:adjustRightInd w:val="0"/>
              <w:snapToGrid w:val="0"/>
              <w:spacing w:line="32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评价年度内参与评价的我省</w:t>
            </w:r>
            <w:r>
              <w:rPr>
                <w:rFonts w:hint="eastAsia" w:ascii="仿宋" w:hAnsi="仿宋" w:eastAsia="仿宋" w:cs="仿宋"/>
                <w:color w:val="auto"/>
                <w:kern w:val="0"/>
                <w:sz w:val="21"/>
                <w:szCs w:val="21"/>
                <w:lang w:eastAsia="zh-CN"/>
              </w:rPr>
              <w:t>水运</w:t>
            </w:r>
            <w:r>
              <w:rPr>
                <w:rFonts w:hint="eastAsia" w:ascii="仿宋" w:hAnsi="仿宋" w:eastAsia="仿宋" w:cs="仿宋"/>
                <w:color w:val="auto"/>
                <w:kern w:val="0"/>
                <w:sz w:val="21"/>
                <w:szCs w:val="21"/>
              </w:rPr>
              <w:t>工程咨询服务项目合同总额累计超过</w:t>
            </w:r>
            <w:r>
              <w:rPr>
                <w:rFonts w:hint="eastAsia" w:ascii="仿宋" w:hAnsi="仿宋" w:eastAsia="仿宋" w:cs="仿宋"/>
                <w:color w:val="auto"/>
                <w:kern w:val="0"/>
                <w:sz w:val="21"/>
                <w:szCs w:val="21"/>
                <w:lang w:val="en-US" w:eastAsia="zh-CN"/>
              </w:rPr>
              <w:t>200</w:t>
            </w:r>
            <w:r>
              <w:rPr>
                <w:rFonts w:hint="eastAsia" w:ascii="仿宋" w:hAnsi="仿宋" w:eastAsia="仿宋" w:cs="仿宋"/>
                <w:color w:val="auto"/>
                <w:kern w:val="0"/>
                <w:sz w:val="21"/>
                <w:szCs w:val="21"/>
              </w:rPr>
              <w:t>万元。</w:t>
            </w:r>
          </w:p>
          <w:p>
            <w:pPr>
              <w:adjustRightInd w:val="0"/>
              <w:snapToGrid w:val="0"/>
              <w:spacing w:line="320" w:lineRule="exact"/>
              <w:rPr>
                <w:rFonts w:hint="eastAsia" w:ascii="仿宋" w:hAnsi="仿宋" w:eastAsia="仿宋" w:cs="仿宋"/>
                <w:color w:val="auto"/>
                <w:kern w:val="0"/>
                <w:sz w:val="21"/>
                <w:szCs w:val="21"/>
              </w:rPr>
            </w:pPr>
          </w:p>
        </w:tc>
        <w:tc>
          <w:tcPr>
            <w:tcW w:w="4150" w:type="dxa"/>
            <w:vAlign w:val="center"/>
          </w:tcPr>
          <w:p>
            <w:pPr>
              <w:adjustRightInd w:val="0"/>
              <w:snapToGrid w:val="0"/>
              <w:spacing w:line="32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在我省承担的工程咨询项目有两个以上（含两个）在评价年度内通过交通运输主管部门或其委托单位审查（批）,且其中至少一个为我省</w:t>
            </w:r>
            <w:r>
              <w:rPr>
                <w:rFonts w:hint="eastAsia" w:ascii="仿宋" w:hAnsi="仿宋" w:eastAsia="仿宋" w:cs="仿宋"/>
                <w:color w:val="auto"/>
                <w:kern w:val="0"/>
                <w:sz w:val="21"/>
                <w:szCs w:val="21"/>
                <w:lang w:eastAsia="zh-CN"/>
              </w:rPr>
              <w:t>水运</w:t>
            </w:r>
            <w:r>
              <w:rPr>
                <w:rFonts w:hint="eastAsia" w:ascii="仿宋" w:hAnsi="仿宋" w:eastAsia="仿宋" w:cs="仿宋"/>
                <w:color w:val="auto"/>
                <w:kern w:val="0"/>
                <w:sz w:val="21"/>
                <w:szCs w:val="21"/>
              </w:rPr>
              <w:t>工程咨询项目。</w:t>
            </w:r>
          </w:p>
        </w:tc>
        <w:tc>
          <w:tcPr>
            <w:tcW w:w="135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3" w:hRule="atLeast"/>
          <w:jc w:val="center"/>
        </w:trPr>
        <w:tc>
          <w:tcPr>
            <w:tcW w:w="1082"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A</w:t>
            </w:r>
          </w:p>
        </w:tc>
        <w:tc>
          <w:tcPr>
            <w:tcW w:w="1906"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X≥85分</w:t>
            </w:r>
          </w:p>
        </w:tc>
        <w:tc>
          <w:tcPr>
            <w:tcW w:w="6087" w:type="dxa"/>
            <w:vAlign w:val="center"/>
          </w:tcPr>
          <w:p>
            <w:pPr>
              <w:adjustRightInd w:val="0"/>
              <w:snapToGrid w:val="0"/>
              <w:spacing w:line="32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评价年度内参与评价的我省</w:t>
            </w:r>
            <w:r>
              <w:rPr>
                <w:rFonts w:hint="eastAsia" w:ascii="仿宋" w:hAnsi="仿宋" w:eastAsia="仿宋" w:cs="仿宋"/>
                <w:color w:val="auto"/>
                <w:kern w:val="0"/>
                <w:sz w:val="21"/>
                <w:szCs w:val="21"/>
                <w:lang w:eastAsia="zh-CN"/>
              </w:rPr>
              <w:t>水运</w:t>
            </w:r>
            <w:r>
              <w:rPr>
                <w:rFonts w:hint="eastAsia" w:ascii="仿宋" w:hAnsi="仿宋" w:eastAsia="仿宋" w:cs="仿宋"/>
                <w:color w:val="auto"/>
                <w:kern w:val="0"/>
                <w:sz w:val="21"/>
                <w:szCs w:val="21"/>
              </w:rPr>
              <w:t>工程咨询服务项目合同总额累计超过</w:t>
            </w:r>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00万元。</w:t>
            </w:r>
          </w:p>
          <w:p>
            <w:pPr>
              <w:adjustRightInd w:val="0"/>
              <w:snapToGrid w:val="0"/>
              <w:spacing w:line="400" w:lineRule="exact"/>
              <w:rPr>
                <w:rFonts w:hint="eastAsia" w:ascii="仿宋" w:hAnsi="仿宋" w:eastAsia="仿宋" w:cs="仿宋"/>
                <w:color w:val="auto"/>
                <w:kern w:val="0"/>
                <w:sz w:val="21"/>
                <w:szCs w:val="21"/>
              </w:rPr>
            </w:pPr>
          </w:p>
        </w:tc>
        <w:tc>
          <w:tcPr>
            <w:tcW w:w="4150" w:type="dxa"/>
            <w:vAlign w:val="center"/>
          </w:tcPr>
          <w:p>
            <w:pPr>
              <w:adjustRightInd w:val="0"/>
              <w:snapToGrid w:val="0"/>
              <w:spacing w:line="32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在我省承担的工程咨询项目有一个项目在评价年度内通过交通运输主管部门或其委托单位审查（批）。</w:t>
            </w:r>
          </w:p>
        </w:tc>
        <w:tc>
          <w:tcPr>
            <w:tcW w:w="135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信用较好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jc w:val="center"/>
        </w:trPr>
        <w:tc>
          <w:tcPr>
            <w:tcW w:w="1082"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B</w:t>
            </w:r>
          </w:p>
        </w:tc>
        <w:tc>
          <w:tcPr>
            <w:tcW w:w="1906" w:type="dxa"/>
            <w:vAlign w:val="center"/>
          </w:tcPr>
          <w:p>
            <w:pPr>
              <w:adjustRightInd w:val="0"/>
              <w:snapToGrid w:val="0"/>
              <w:spacing w:line="30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75分≤X＜85分</w:t>
            </w:r>
          </w:p>
        </w:tc>
        <w:tc>
          <w:tcPr>
            <w:tcW w:w="10237" w:type="dxa"/>
            <w:gridSpan w:val="2"/>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或75分≤X，但其他条件要求不能满足AA、A级要求。</w:t>
            </w:r>
          </w:p>
        </w:tc>
        <w:tc>
          <w:tcPr>
            <w:tcW w:w="135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7" w:hRule="atLeast"/>
          <w:jc w:val="center"/>
        </w:trPr>
        <w:tc>
          <w:tcPr>
            <w:tcW w:w="1082"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C</w:t>
            </w:r>
          </w:p>
        </w:tc>
        <w:tc>
          <w:tcPr>
            <w:tcW w:w="1906"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60分≤X＜75分</w:t>
            </w:r>
          </w:p>
        </w:tc>
        <w:tc>
          <w:tcPr>
            <w:tcW w:w="10237" w:type="dxa"/>
            <w:gridSpan w:val="2"/>
            <w:vAlign w:val="center"/>
          </w:tcPr>
          <w:p>
            <w:pPr>
              <w:keepNext w:val="0"/>
              <w:keepLines w:val="0"/>
              <w:pageBreakBefore w:val="0"/>
              <w:widowControl w:val="0"/>
              <w:kinsoku/>
              <w:wordWrap/>
              <w:overflowPunct/>
              <w:topLinePunct w:val="0"/>
              <w:autoSpaceDE/>
              <w:autoSpaceDN/>
              <w:bidi w:val="0"/>
              <w:adjustRightInd w:val="0"/>
              <w:spacing w:line="260" w:lineRule="exact"/>
              <w:textAlignment w:val="auto"/>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w:t>
            </w:r>
            <w:r>
              <w:rPr>
                <w:rFonts w:hint="eastAsia" w:ascii="仿宋" w:hAnsi="仿宋" w:eastAsia="仿宋" w:cs="仿宋"/>
                <w:color w:val="auto"/>
                <w:kern w:val="0"/>
                <w:sz w:val="21"/>
                <w:szCs w:val="21"/>
                <w:lang w:val="en-US" w:eastAsia="zh-CN"/>
              </w:rPr>
              <w:t>C</w:t>
            </w:r>
            <w:r>
              <w:rPr>
                <w:rFonts w:hint="eastAsia" w:ascii="仿宋" w:hAnsi="仿宋" w:eastAsia="仿宋" w:cs="仿宋"/>
                <w:color w:val="auto"/>
                <w:kern w:val="0"/>
                <w:sz w:val="21"/>
                <w:szCs w:val="21"/>
              </w:rPr>
              <w:t>级的失信行为</w:t>
            </w:r>
          </w:p>
        </w:tc>
        <w:tc>
          <w:tcPr>
            <w:tcW w:w="135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信用较差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jc w:val="center"/>
        </w:trPr>
        <w:tc>
          <w:tcPr>
            <w:tcW w:w="1082"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D</w:t>
            </w:r>
          </w:p>
        </w:tc>
        <w:tc>
          <w:tcPr>
            <w:tcW w:w="1906"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X＜60</w:t>
            </w:r>
          </w:p>
        </w:tc>
        <w:tc>
          <w:tcPr>
            <w:tcW w:w="10237" w:type="dxa"/>
            <w:gridSpan w:val="2"/>
            <w:vAlign w:val="center"/>
          </w:tcPr>
          <w:p>
            <w:pPr>
              <w:adjustRightInd w:val="0"/>
              <w:spacing w:line="400" w:lineRule="exact"/>
              <w:rPr>
                <w:rFonts w:hint="eastAsia" w:ascii="仿宋" w:hAnsi="仿宋" w:eastAsia="仿宋" w:cs="仿宋"/>
                <w:color w:val="auto"/>
                <w:kern w:val="0"/>
                <w:sz w:val="21"/>
                <w:szCs w:val="21"/>
              </w:rPr>
            </w:pPr>
            <w:r>
              <w:rPr>
                <w:rFonts w:hint="eastAsia" w:ascii="仿宋" w:hAnsi="仿宋" w:eastAsia="仿宋" w:cs="仿宋"/>
                <w:color w:val="auto"/>
                <w:kern w:val="0"/>
                <w:sz w:val="21"/>
                <w:szCs w:val="21"/>
                <w:lang w:val="en-US" w:eastAsia="zh-CN"/>
              </w:rPr>
              <w:t>无项目数量及合同额要求；</w:t>
            </w:r>
            <w:r>
              <w:rPr>
                <w:rFonts w:hint="eastAsia" w:ascii="仿宋" w:hAnsi="仿宋" w:eastAsia="仿宋" w:cs="仿宋"/>
                <w:color w:val="auto"/>
                <w:kern w:val="0"/>
                <w:sz w:val="21"/>
                <w:szCs w:val="21"/>
              </w:rPr>
              <w:t>或者存在直接定为D级的失信行为</w:t>
            </w:r>
          </w:p>
        </w:tc>
        <w:tc>
          <w:tcPr>
            <w:tcW w:w="1350" w:type="dxa"/>
            <w:vAlign w:val="center"/>
          </w:tcPr>
          <w:p>
            <w:pPr>
              <w:adjustRightInd w:val="0"/>
              <w:spacing w:line="320" w:lineRule="exact"/>
              <w:jc w:val="center"/>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信用差</w:t>
            </w:r>
          </w:p>
        </w:tc>
      </w:tr>
    </w:tbl>
    <w:p>
      <w:pPr>
        <w:adjustRightInd w:val="0"/>
        <w:ind w:firstLine="420" w:firstLineChars="150"/>
        <w:jc w:val="center"/>
        <w:rPr>
          <w:rFonts w:ascii="华文中宋" w:hAnsi="华文中宋" w:eastAsia="华文中宋" w:cs="华文中宋"/>
          <w:color w:val="auto"/>
          <w:kern w:val="0"/>
          <w:sz w:val="28"/>
          <w:szCs w:val="28"/>
        </w:rPr>
      </w:pPr>
      <w:r>
        <w:rPr>
          <w:rFonts w:hint="eastAsia" w:ascii="华文中宋" w:hAnsi="华文中宋" w:eastAsia="华文中宋" w:cs="华文中宋"/>
          <w:color w:val="auto"/>
          <w:kern w:val="0"/>
          <w:sz w:val="28"/>
          <w:szCs w:val="28"/>
          <w:lang w:val="en-US" w:eastAsia="zh-CN"/>
        </w:rPr>
        <w:t>四</w:t>
      </w:r>
      <w:r>
        <w:rPr>
          <w:rFonts w:hint="eastAsia" w:ascii="华文中宋" w:hAnsi="华文中宋" w:eastAsia="华文中宋" w:cs="华文中宋"/>
          <w:color w:val="auto"/>
          <w:kern w:val="0"/>
          <w:sz w:val="28"/>
          <w:szCs w:val="28"/>
        </w:rPr>
        <w:t>、</w:t>
      </w:r>
      <w:r>
        <w:rPr>
          <w:rFonts w:hint="eastAsia" w:ascii="华文中宋" w:hAnsi="华文中宋" w:eastAsia="华文中宋" w:cs="华文中宋"/>
          <w:color w:val="auto"/>
          <w:kern w:val="0"/>
          <w:sz w:val="28"/>
          <w:szCs w:val="28"/>
          <w:lang w:eastAsia="zh-CN"/>
        </w:rPr>
        <w:t>水运</w:t>
      </w:r>
      <w:r>
        <w:rPr>
          <w:rFonts w:hint="eastAsia" w:ascii="华文中宋" w:hAnsi="华文中宋" w:eastAsia="华文中宋" w:cs="华文中宋"/>
          <w:color w:val="auto"/>
          <w:kern w:val="0"/>
          <w:sz w:val="28"/>
          <w:szCs w:val="28"/>
        </w:rPr>
        <w:t>工程咨询单位信用评价等级标准</w:t>
      </w:r>
    </w:p>
    <w:p>
      <w:pPr>
        <w:adjustRightInd w:val="0"/>
        <w:spacing w:line="400" w:lineRule="exact"/>
        <w:ind w:firstLine="420" w:firstLineChars="200"/>
        <w:rPr>
          <w:rFonts w:hint="eastAsia" w:ascii="仿宋_GB2312" w:hAnsi="宋体" w:cs="仿宋_GB2312"/>
          <w:color w:val="auto"/>
          <w:kern w:val="0"/>
          <w:sz w:val="21"/>
          <w:szCs w:val="21"/>
          <w:lang w:val="en-US" w:eastAsia="zh-CN"/>
        </w:rPr>
      </w:pPr>
      <w:r>
        <w:rPr>
          <w:rFonts w:hint="eastAsia" w:ascii="仿宋_GB2312" w:hAnsi="宋体" w:cs="仿宋_GB2312"/>
          <w:color w:val="auto"/>
          <w:kern w:val="0"/>
          <w:sz w:val="21"/>
          <w:szCs w:val="21"/>
          <w:lang w:val="en-US" w:eastAsia="zh-CN"/>
        </w:rPr>
        <w:t>说明：1.项目建设单位信用评价等级标准执行分数要求和办法中其他要求，无项目数量及合同额要求。</w:t>
      </w:r>
    </w:p>
    <w:p>
      <w:pPr>
        <w:adjustRightInd w:val="0"/>
        <w:spacing w:line="400" w:lineRule="exact"/>
        <w:ind w:firstLine="1050" w:firstLineChars="500"/>
        <w:rPr>
          <w:rFonts w:hint="eastAsia" w:ascii="黑体" w:hAnsi="黑体" w:eastAsia="黑体" w:cs="黑体"/>
          <w:color w:val="auto"/>
          <w:szCs w:val="32"/>
        </w:rPr>
      </w:pPr>
      <w:r>
        <w:rPr>
          <w:rFonts w:hint="eastAsia" w:ascii="仿宋_GB2312" w:hAnsi="宋体" w:cs="仿宋_GB2312"/>
          <w:color w:val="auto"/>
          <w:kern w:val="0"/>
          <w:sz w:val="21"/>
          <w:szCs w:val="21"/>
          <w:lang w:val="en-US" w:eastAsia="zh-CN"/>
        </w:rPr>
        <w:t>2.《水运工程从业单位信用评价等级标准》所列AA、A级需同时满足评分要求、从业项目数量及合同额要求、其他要求。</w:t>
      </w:r>
    </w:p>
    <w:p>
      <w:pPr>
        <w:tabs>
          <w:tab w:val="left" w:pos="13230"/>
        </w:tabs>
        <w:ind w:firstLine="568"/>
        <w:rPr>
          <w:rFonts w:hint="eastAsia" w:ascii="黑体" w:hAnsi="黑体" w:eastAsia="黑体" w:cs="黑体"/>
          <w:color w:val="auto"/>
          <w:szCs w:val="32"/>
        </w:rPr>
        <w:sectPr>
          <w:pgSz w:w="16838" w:h="11906" w:orient="landscape"/>
          <w:pgMar w:top="607" w:right="720" w:bottom="607" w:left="720" w:header="851" w:footer="992" w:gutter="0"/>
          <w:pgNumType w:fmt="decimal"/>
          <w:cols w:space="720" w:num="1"/>
          <w:rtlGutter w:val="0"/>
          <w:docGrid w:type="lines" w:linePitch="312" w:charSpace="0"/>
        </w:sectPr>
      </w:pPr>
    </w:p>
    <w:p>
      <w:pPr>
        <w:tabs>
          <w:tab w:val="left" w:pos="13230"/>
        </w:tabs>
        <w:ind w:firstLine="568"/>
        <w:rPr>
          <w:rFonts w:hint="eastAsia" w:ascii="黑体" w:hAnsi="黑体" w:eastAsia="黑体" w:cs="黑体"/>
          <w:color w:val="auto"/>
          <w:szCs w:val="32"/>
        </w:rPr>
      </w:pPr>
      <w:r>
        <w:rPr>
          <w:rFonts w:hint="eastAsia" w:ascii="黑体" w:hAnsi="黑体" w:eastAsia="黑体" w:cs="黑体"/>
          <w:color w:val="auto"/>
          <w:szCs w:val="32"/>
        </w:rPr>
        <w:t>附件</w:t>
      </w:r>
      <w:r>
        <w:rPr>
          <w:rFonts w:hint="eastAsia" w:ascii="黑体" w:hAnsi="黑体" w:eastAsia="黑体" w:cs="黑体"/>
          <w:color w:val="auto"/>
          <w:szCs w:val="32"/>
          <w:lang w:val="en-US" w:eastAsia="zh-CN"/>
        </w:rPr>
        <w:t>2-2</w:t>
      </w:r>
    </w:p>
    <w:tbl>
      <w:tblPr>
        <w:tblStyle w:val="6"/>
        <w:tblW w:w="15340" w:type="dxa"/>
        <w:jc w:val="center"/>
        <w:tblInd w:w="0" w:type="dxa"/>
        <w:tblLayout w:type="fixed"/>
        <w:tblCellMar>
          <w:top w:w="0" w:type="dxa"/>
          <w:left w:w="0" w:type="dxa"/>
          <w:bottom w:w="0" w:type="dxa"/>
          <w:right w:w="0" w:type="dxa"/>
        </w:tblCellMar>
      </w:tblPr>
      <w:tblGrid>
        <w:gridCol w:w="1080"/>
        <w:gridCol w:w="1086"/>
        <w:gridCol w:w="8386"/>
        <w:gridCol w:w="2371"/>
        <w:gridCol w:w="2417"/>
      </w:tblGrid>
      <w:tr>
        <w:tblPrEx>
          <w:tblLayout w:type="fixed"/>
          <w:tblCellMar>
            <w:top w:w="0" w:type="dxa"/>
            <w:left w:w="0" w:type="dxa"/>
            <w:bottom w:w="0" w:type="dxa"/>
            <w:right w:w="0" w:type="dxa"/>
          </w:tblCellMar>
        </w:tblPrEx>
        <w:trPr>
          <w:trHeight w:val="573" w:hRule="atLeast"/>
          <w:jc w:val="center"/>
        </w:trPr>
        <w:tc>
          <w:tcPr>
            <w:tcW w:w="15340" w:type="dxa"/>
            <w:gridSpan w:val="5"/>
            <w:tcBorders>
              <w:top w:val="nil"/>
              <w:left w:val="nil"/>
              <w:bottom w:val="nil"/>
              <w:right w:val="nil"/>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b/>
                <w:i w:val="0"/>
                <w:iCs w:val="0"/>
                <w:color w:val="auto"/>
                <w:sz w:val="24"/>
                <w:szCs w:val="24"/>
                <w:u w:val="none"/>
              </w:rPr>
            </w:pPr>
            <w:r>
              <w:rPr>
                <w:rFonts w:hint="eastAsia" w:ascii="宋体" w:hAnsi="宋体" w:eastAsia="宋体" w:cs="宋体"/>
                <w:b/>
                <w:i w:val="0"/>
                <w:iCs w:val="0"/>
                <w:color w:val="auto"/>
                <w:kern w:val="0"/>
                <w:sz w:val="24"/>
                <w:szCs w:val="24"/>
                <w:u w:val="none"/>
                <w:lang w:val="en-US" w:eastAsia="zh-CN" w:bidi="ar"/>
              </w:rPr>
              <w:t>广东省水运工程项目建设（代建）单位信用评价评定</w:t>
            </w:r>
            <w:bookmarkStart w:id="0" w:name="_GoBack"/>
            <w:bookmarkEnd w:id="0"/>
            <w:r>
              <w:rPr>
                <w:rFonts w:hint="eastAsia" w:ascii="宋体" w:hAnsi="宋体" w:eastAsia="宋体" w:cs="宋体"/>
                <w:b/>
                <w:i w:val="0"/>
                <w:iCs w:val="0"/>
                <w:color w:val="auto"/>
                <w:kern w:val="0"/>
                <w:sz w:val="24"/>
                <w:szCs w:val="24"/>
                <w:u w:val="none"/>
                <w:lang w:val="en-US" w:eastAsia="zh-CN" w:bidi="ar"/>
              </w:rPr>
              <w:t>标准</w:t>
            </w:r>
          </w:p>
        </w:tc>
      </w:tr>
      <w:tr>
        <w:tblPrEx>
          <w:tblLayout w:type="fixed"/>
          <w:tblCellMar>
            <w:top w:w="0" w:type="dxa"/>
            <w:left w:w="0" w:type="dxa"/>
            <w:bottom w:w="0" w:type="dxa"/>
            <w:right w:w="0" w:type="dxa"/>
          </w:tblCellMar>
        </w:tblPrEx>
        <w:trPr>
          <w:trHeight w:val="380" w:hRule="atLeast"/>
          <w:jc w:val="center"/>
        </w:trPr>
        <w:tc>
          <w:tcPr>
            <w:tcW w:w="108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评定内容</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行为代码</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失信行为</w:t>
            </w:r>
          </w:p>
        </w:tc>
        <w:tc>
          <w:tcPr>
            <w:tcW w:w="2417" w:type="dxa"/>
            <w:tcBorders>
              <w:top w:val="single" w:color="000000" w:sz="4" w:space="0"/>
              <w:left w:val="single" w:color="000000" w:sz="4" w:space="0"/>
              <w:bottom w:val="nil"/>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扣分标准</w:t>
            </w:r>
          </w:p>
        </w:tc>
      </w:tr>
      <w:tr>
        <w:tblPrEx>
          <w:tblLayout w:type="fixed"/>
          <w:tblCellMar>
            <w:top w:w="0" w:type="dxa"/>
            <w:left w:w="0" w:type="dxa"/>
            <w:bottom w:w="0" w:type="dxa"/>
            <w:right w:w="0" w:type="dxa"/>
          </w:tblCellMar>
        </w:tblPrEx>
        <w:trPr>
          <w:trHeight w:val="520"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严重失信行为（行为代码GLJS1）</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违反规定交工验收;对不具备交工验收条件的水运工程组织交工验收</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直接定为D级</w:t>
            </w:r>
          </w:p>
        </w:tc>
      </w:tr>
      <w:tr>
        <w:tblPrEx>
          <w:tblLayout w:type="fixed"/>
          <w:tblCellMar>
            <w:top w:w="0" w:type="dxa"/>
            <w:left w:w="0" w:type="dxa"/>
            <w:bottom w:w="0" w:type="dxa"/>
            <w:right w:w="0" w:type="dxa"/>
          </w:tblCellMar>
        </w:tblPrEx>
        <w:trPr>
          <w:trHeight w:val="520"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default" w:ascii="仿宋" w:hAnsi="仿宋" w:eastAsia="仿宋" w:cs="仿宋"/>
                <w:i w:val="0"/>
                <w:iCs w:val="0"/>
                <w:color w:val="auto"/>
                <w:sz w:val="18"/>
                <w:szCs w:val="18"/>
                <w:u w:val="none"/>
                <w:lang w:val="en-US"/>
              </w:rPr>
            </w:pPr>
            <w:r>
              <w:rPr>
                <w:rFonts w:hint="eastAsia" w:ascii="仿宋" w:hAnsi="仿宋" w:eastAsia="仿宋" w:cs="仿宋"/>
                <w:i w:val="0"/>
                <w:iCs w:val="0"/>
                <w:color w:val="auto"/>
                <w:kern w:val="0"/>
                <w:sz w:val="18"/>
                <w:szCs w:val="18"/>
                <w:u w:val="none"/>
                <w:lang w:val="en-US" w:eastAsia="zh-CN" w:bidi="ar"/>
              </w:rPr>
              <w:t>对不合格工程试运行；因建设单位原因，对未交工验收、交工验收不合格或未备案的工程进行试运行（指航道工程）</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直接定为D级</w:t>
            </w:r>
          </w:p>
        </w:tc>
      </w:tr>
      <w:tr>
        <w:tblPrEx>
          <w:tblLayout w:type="fixed"/>
          <w:tblCellMar>
            <w:top w:w="0" w:type="dxa"/>
            <w:left w:w="0" w:type="dxa"/>
            <w:bottom w:w="0" w:type="dxa"/>
            <w:right w:w="0" w:type="dxa"/>
          </w:tblCellMar>
        </w:tblPrEx>
        <w:trPr>
          <w:trHeight w:val="520"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验收质量不合格，项目交(竣）工验收质量不合格</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直接定为D级</w:t>
            </w:r>
          </w:p>
        </w:tc>
      </w:tr>
      <w:tr>
        <w:tblPrEx>
          <w:tblLayout w:type="fixed"/>
          <w:tblCellMar>
            <w:top w:w="0" w:type="dxa"/>
            <w:left w:w="0" w:type="dxa"/>
            <w:bottom w:w="0" w:type="dxa"/>
            <w:right w:w="0" w:type="dxa"/>
          </w:tblCellMar>
        </w:tblPrEx>
        <w:trPr>
          <w:trHeight w:val="90"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因建设单位原因造成质量问题，因建设单位对勘察、设计、监理、施工等单位提出不符合质量、安全生产法律、法规和强制性标准规定的要求，或</w:t>
            </w:r>
            <w:r>
              <w:rPr>
                <w:rStyle w:val="7"/>
                <w:i w:val="0"/>
                <w:iCs w:val="0"/>
                <w:color w:val="auto"/>
                <w:lang w:val="en-US" w:eastAsia="zh-CN" w:bidi="ar"/>
              </w:rPr>
              <w:t>无合法手续</w:t>
            </w:r>
            <w:r>
              <w:rPr>
                <w:rStyle w:val="8"/>
                <w:i w:val="0"/>
                <w:iCs w:val="0"/>
                <w:color w:val="auto"/>
                <w:lang w:val="en-US" w:eastAsia="zh-CN" w:bidi="ar"/>
              </w:rPr>
              <w:t>要求施工单位压缩合同约定的工期，或将工程发包给不具备相应资质等级的施工单位，或将工程肢解发包，造成重大质量安全事故</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直接定为D级</w:t>
            </w:r>
          </w:p>
        </w:tc>
      </w:tr>
      <w:tr>
        <w:tblPrEx>
          <w:tblLayout w:type="fixed"/>
          <w:tblCellMar>
            <w:top w:w="0" w:type="dxa"/>
            <w:left w:w="0" w:type="dxa"/>
            <w:bottom w:w="0" w:type="dxa"/>
            <w:right w:w="0" w:type="dxa"/>
          </w:tblCellMar>
        </w:tblPrEx>
        <w:trPr>
          <w:trHeight w:val="43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招标失信行为(15分行为代码GLJS1-2)</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透露招标信息，向他人透露已获取招标文件的潜在投标人的名称、数量或者可能影响公平竞争的有关招标投标的其他情况的；或者泄露标底</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10分/次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招标方式不合规，应该公开招标而不公开、未经批准而采用邀请招标方式或不招标</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因建设单位责任发生围标、串标或转包、违法分包</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10分/次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规避招标，依法必须进行招标而不招标或将必须进行招标的项目化整为零或者以其他任何方式规避招标</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10分/次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未按规定发布招标公告，应当发布招标公告而不发布或是不按照规定在指定媒介发布资格预审公告或招标公告的，在不同媒介发布的同一招标项目的资格预审公告或者招标公告内容不一致</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招投标文件时限不合规，招标文件、资格预审文件的发售、澄清、修改的时限，或者确定的提交资格预审申请文件、投标文件的时限不符合招标投标法和招标投标法实施条例规定</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操纵投标过程，接受未通过资格预审的单位或者个人参加投标；接受应当拒收的投标文件</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限制或排斥潜在投标人，以不合理条件限制或排斥潜在投标人或者投标人的；对潜在投标人或者投标人实行歧视待遇的；强制要求投标人组成联合体共同投标的；或者限制投标人之间竞争等</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评标委员会不合规，不按规定组建评标委员会，或者确定、更换评标委员会成员违反招标投标法和招标投标法实施条例规定</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不按规定执行中标结果，无正当理由不发出中标通知书；不按照规定确定中标人；中标通知书发出后无正当理由改变中标结果；无正当理由不与中标人订立合同；在订立合同时向中标人提出附加条件</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确定中标人不合规，在评标委员会依法推荐的中标候选人以外确定中标人；或在所有投标被评标委员会否决后自行确定中标人</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招标文件未报备，招标文件及招标投标情况的书面报告未及时报备行业主管部门</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收取投标保证金等不合规，超过招标投标法实施条例规定的比例收取投标保证金、履约保证金或者不按照规定退还投标保证金及银行同期存款利率的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与投标人对实质性内容进行谈判，与投标人就投标价格、投标方案等实质性内容进行谈判</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与中标人订立的合同不合规，与中标人不按照招标文件和中标人的投标文件订立合同；或者与中标人订立背离合同实质性内容的协议</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问题拒不整改，因建设单位过错造成有理投诉或对查出问题拒不整改</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招标人代表参加评标时，未按评标办法进行评标；或清标工作、评标组织工作出现差错等；未造成严重影响。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GLJS1-2-18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招标人代表参加评标时，未按评标办法进行评标；或清标工作、评标组织工作出现差错等；造成严重影响。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8分/次</w:t>
            </w:r>
          </w:p>
        </w:tc>
      </w:tr>
      <w:tr>
        <w:tblPrEx>
          <w:tblLayout w:type="fixed"/>
          <w:tblCellMar>
            <w:top w:w="0" w:type="dxa"/>
            <w:left w:w="0" w:type="dxa"/>
            <w:bottom w:w="0" w:type="dxa"/>
            <w:right w:w="0" w:type="dxa"/>
          </w:tblCellMar>
        </w:tblPrEx>
        <w:trPr>
          <w:trHeight w:val="648"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建设程序(10分,行为代码GLJS1-3)</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未严格执行程序,因建设单位原因，未严格执行可行性研究、初步设计、施工图设计批复、施工许可批复（含质量安全监督）以及土地批复等程序</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缺项或未批先建的扣10分;任一环节顺序倒置扣5分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施工图文件未按规定审查,未组织有关专家或委托相应工程咨询或设计资质的单位对施工图文件按规定进行审查</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2分/项</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施工图文件未按规定审批;未将施工图文件上报交通运输主管部门审批</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未办理质量监督手续，项目已开工</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未办理施工许可等开工手续，即组织施工</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未按规定选择相应资质等级的设计、施工、监理、检测单位从事工程建设</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864"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建设资金、手续等不合规;因建设单位原因，建设资金未落实或建设资金未经交通运输主管部门审计即开始施工；征地手续未批准、基本拆迁工作未完成即开始施工；施工、监理单位未依法确认即开始施工；质量和安全保障措施未落实即开始施工</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5分/项</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未按照批复的规模标准组织建设，自行提高或降低标准，增加或减少规模</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8分/次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港口工程主体工程交工验收6个月后，航道工程试运行期超过二年不申请组织竣工验收，被交通运输主管部门责令改正仍不申请组织竣工验收</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8分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GLJS1-3-10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未发放交工证书;因建设单位原因，交工验收后未在规定期限内发放合同段交工证书</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设计变更和造价管理(10分，行为代码GLJS1-4)</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GLJS1-4-1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未建立设计变更管理台账，未实施有效设计变更管理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GLJS1-4-2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规避审批,未按照规定权限、条件和程序审查批准一般变更或报批较大、重大设计变更，或将较大、重大变更肢解规避审批</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GLJS1-4-3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未经批准即先行实施变更；或</w:t>
            </w:r>
            <w:r>
              <w:rPr>
                <w:rStyle w:val="7"/>
                <w:i w:val="0"/>
                <w:iCs w:val="0"/>
                <w:color w:val="auto"/>
                <w:lang w:val="en-US" w:eastAsia="zh-CN" w:bidi="ar"/>
              </w:rPr>
              <w:t>无变更手续，擅自改变设计进行施工；或变更手续不完善，改变设计施工。</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GLJS1-4-4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未按照规定建立造价管理台账，未实施有效造价管理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2分/项</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GLJS1-4-5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多结算工程款；存在虚列变更项目或虚报工程量，多结算工程款，或用设计变更掩盖施工质量问题</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5分/项</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GLJS1-4-6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未按规定变更合同工程项目；未严格执行合同，非必要情况下变更合同工程项目</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31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信用管理 (10分，行为代码GLJS1-5)</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未设置专职管理人员</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未按规定进行信息录入；未按照规定时间或未在30天内完成部、省平台项目信息录入及维护的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未建立信用管理台账；未建立信用管理台账，未实施有效信用管理的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10分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信用管理台账未及时更新；信用管理台账30天内未及时更新的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1分/项次</w:t>
            </w:r>
          </w:p>
        </w:tc>
      </w:tr>
      <w:tr>
        <w:tblPrEx>
          <w:tblLayout w:type="fixed"/>
          <w:tblCellMar>
            <w:top w:w="0" w:type="dxa"/>
            <w:left w:w="0" w:type="dxa"/>
            <w:bottom w:w="0" w:type="dxa"/>
            <w:right w:w="0" w:type="dxa"/>
          </w:tblCellMar>
        </w:tblPrEx>
        <w:trPr>
          <w:trHeight w:val="864"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未实行电子化管理台账</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未实现电子台账的扣3分；</w:t>
            </w:r>
            <w:r>
              <w:rPr>
                <w:rFonts w:hint="eastAsia" w:ascii="仿宋" w:hAnsi="仿宋" w:eastAsia="仿宋" w:cs="仿宋"/>
                <w:i w:val="0"/>
                <w:iCs w:val="0"/>
                <w:color w:val="auto"/>
                <w:kern w:val="0"/>
                <w:sz w:val="18"/>
                <w:szCs w:val="18"/>
                <w:u w:val="none"/>
                <w:lang w:val="en-US" w:eastAsia="zh-CN" w:bidi="ar"/>
              </w:rPr>
              <w:br w:type="textWrapping"/>
            </w:r>
            <w:r>
              <w:rPr>
                <w:rFonts w:hint="eastAsia" w:ascii="仿宋" w:hAnsi="仿宋" w:eastAsia="仿宋" w:cs="仿宋"/>
                <w:i w:val="0"/>
                <w:iCs w:val="0"/>
                <w:color w:val="auto"/>
                <w:kern w:val="0"/>
                <w:sz w:val="18"/>
                <w:szCs w:val="18"/>
                <w:u w:val="none"/>
                <w:lang w:val="en-US" w:eastAsia="zh-CN" w:bidi="ar"/>
              </w:rPr>
              <w:t>简单电脑登记管理的扣2分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基础信用信息错漏</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1分/项次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未正确运用评价规则</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评价结果应用管理不到位；评价结果未按规定在项目招投标、履约监管等方面得以应用</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未应用扣20分。应用不准确、不全面，应用不合理扣3分/项次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未执行信用评价结果公示、复议制度</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3分/起</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信用评价工作不合规；评价年度内，建设单位未按规定时间完成所辖项目勘察设计、施工、监理等单位信用评价工作或评价工作不到位，影响全省从业单位信用评价汇总工作</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提供的项目信息不合规；向省级及以上交通运输主管部门提供的项目相关信息不及时、不完整、不符合要求</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项目基本信息未及时更新；未在省级交通运输主管部门政府网站或其他规定网站及时更新工程概况、建设各方、征地拆迁等项目基本信息及招投标信息、信用评价情况等市场信息</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GLJS1-5-13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对所辖项目错评；评价年度内，建设单位存在包庇纵容所辖项目勘察设计、施工、监理等单位失信行为，未如实反映从业单位真实从业情况</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GLJS1-5-14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对所辖项目应评未评或漏评；评价年度内，建设单位在对所辖项目勘察设计、施工、监理等单位信用评价工作中，存在应评未评或者漏评，导致应评价的从业单位没有评价结果</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3分/项次</w:t>
            </w:r>
          </w:p>
        </w:tc>
      </w:tr>
      <w:tr>
        <w:tblPrEx>
          <w:tblLayout w:type="fixed"/>
          <w:tblCellMar>
            <w:top w:w="0" w:type="dxa"/>
            <w:left w:w="0" w:type="dxa"/>
            <w:bottom w:w="0" w:type="dxa"/>
            <w:right w:w="0" w:type="dxa"/>
          </w:tblCellMar>
        </w:tblPrEx>
        <w:trPr>
          <w:trHeight w:val="864"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质量安全管理(15分,行为代码GLJS1-6)</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质量安全管理制度不合规；未建立落实质量保证体系、安全生产工作计划、质量管理制度、安全生产管理制度和应急预案，或建立的质量保证体系、安全生产工作计划、质量管理制度、安全生产管理制度和应急预案不符合相关规定的，且整改不到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4分/项</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未按安全管理制度和安全工作计划开展项目安全生产工作</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质量安全检查工作不合规;未进行质量安全检查工作的，或质量安全问题排查、整改不到位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排查整改不到位;督促质量安全问题排查整改不到位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3分/项</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发生重大及以上质量安全责任事故;或发生质量或安全事故未按有关规定和时间向有关部门报告</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15分/次</w:t>
            </w:r>
          </w:p>
        </w:tc>
      </w:tr>
      <w:tr>
        <w:tblPrEx>
          <w:tblLayout w:type="fixed"/>
          <w:tblCellMar>
            <w:top w:w="0" w:type="dxa"/>
            <w:left w:w="0" w:type="dxa"/>
            <w:bottom w:w="0" w:type="dxa"/>
            <w:right w:w="0" w:type="dxa"/>
          </w:tblCellMar>
        </w:tblPrEx>
        <w:trPr>
          <w:trHeight w:val="1196"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GLJS1-6-6</w:t>
            </w:r>
          </w:p>
        </w:tc>
        <w:tc>
          <w:tcPr>
            <w:tcW w:w="83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发生工程质量安全生产责任事故，或发生质量安全责任事故未按规定报告并进行处置</w:t>
            </w:r>
          </w:p>
        </w:tc>
        <w:tc>
          <w:tcPr>
            <w:tcW w:w="4788"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发生较大或一般质量、安全责任事故10分/起；发生一般质量、安全责任事故5分/起。事故后未按规定报告并处置5分/起；事故发生后未建立针对性措施防范类似问题扣10分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明示或者暗示施工单位使用不合格的建筑材料、建筑构配件和设备，降低工程质量安全标准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未按规定足额计取安全生产专项经费</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消防、安全工程未实施;消防、安全等工程未与主体工程同时设计、施工和投入使用</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10分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GLJS1-6-10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未执行标准化施工管理要求;未部署、落实、检查、督促整改标准化施工管理要求</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4分/次</w:t>
            </w:r>
          </w:p>
        </w:tc>
      </w:tr>
      <w:tr>
        <w:tblPrEx>
          <w:tblLayout w:type="fixed"/>
          <w:tblCellMar>
            <w:top w:w="0" w:type="dxa"/>
            <w:left w:w="0" w:type="dxa"/>
            <w:bottom w:w="0" w:type="dxa"/>
            <w:right w:w="0" w:type="dxa"/>
          </w:tblCellMar>
        </w:tblPrEx>
        <w:trPr>
          <w:trHeight w:val="31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资金拨付、财务管理(10分，行为代码GLJS1-7)</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未根据工程实际和投资计划制定资金使用计划</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因建设单位原因，违反规定超概算投资（政策因素导致的除外）</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超前支付工程款</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未按规定或合同约定及时支付预付款</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未及时支付征地拆迁费用或对征地拆迁补偿款监管不力</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要求企业提交额外的保证金;除投标保证金、质量保证金、履约保证金、农民工工资保证金以外,要求企业提交额外的保证金；</w:t>
            </w:r>
            <w:r>
              <w:rPr>
                <w:rStyle w:val="7"/>
                <w:i w:val="0"/>
                <w:iCs w:val="0"/>
                <w:color w:val="auto"/>
                <w:lang w:val="en-US" w:eastAsia="zh-CN" w:bidi="ar"/>
              </w:rPr>
              <w:t>工程质量保证金预留额度不符合国家规定。</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未按照规定的期限及时退还保证金；</w:t>
            </w:r>
            <w:r>
              <w:rPr>
                <w:rStyle w:val="7"/>
                <w:i w:val="0"/>
                <w:iCs w:val="0"/>
                <w:color w:val="auto"/>
                <w:lang w:val="en-US" w:eastAsia="zh-CN" w:bidi="ar"/>
              </w:rPr>
              <w:t>已缴纳履约保证金的，项目竣工前仍预留工程质量保证金。</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因建设资金不到位，违反合同要求企业带资承包</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未按照规定的期限及时办理工程结算；</w:t>
            </w:r>
            <w:r>
              <w:rPr>
                <w:rStyle w:val="7"/>
                <w:i w:val="0"/>
                <w:iCs w:val="0"/>
                <w:color w:val="auto"/>
                <w:lang w:val="en-US" w:eastAsia="zh-CN" w:bidi="ar"/>
              </w:rPr>
              <w:t>未按规定或合同约定及时支付竣工结算款。</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财务管理机构和财务管理制度不健全</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未对农民工工资支付实现有效监管</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无监管办法扣8分;监管不到位扣5分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未及时编制竣工财务决算，未配合做好决算审计等工作</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未按要求开展项目审计工作，及时处理审计问题</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未按要求开展项目审计工作扣5分;审计问题未处理扣3分/项</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存在建设资金违规行为；存在挪用、截留、侵占工程建设资金行为</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10分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GLJS1-7-15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未按合同约定支付费用；非建设资金原因，未按合同约定及时支付工程计量款、监理费、检测费等</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2分/次，超过3次直接降为D</w:t>
            </w:r>
          </w:p>
        </w:tc>
      </w:tr>
      <w:tr>
        <w:tblPrEx>
          <w:tblLayout w:type="fixed"/>
          <w:tblCellMar>
            <w:top w:w="0" w:type="dxa"/>
            <w:left w:w="0" w:type="dxa"/>
            <w:bottom w:w="0" w:type="dxa"/>
            <w:right w:w="0" w:type="dxa"/>
          </w:tblCellMar>
        </w:tblPrEx>
        <w:trPr>
          <w:trHeight w:val="648"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合同管理(10分,行为代码GLJS1-8)</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合同管理不规范、不到位；未按要求建立管理机构，管理机构人员不符合要求</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未建立管理机构扣5分;人员不符合要求扣1分/人</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未及时向行业主管部门上报组织机构、管理人员等</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主要管理人员履约率低于70%</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5分/项</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主要管理人员未履行变更报备手续</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2分/人</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合同工期更改未经审批</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8分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未对分包申请进行审核、备案</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未审核扣5分，未备案扣2分/家</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未制定并执行施工标准化及考核评价制度</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未制定扣3分；未开展考核评价工作扣3分/项</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违反合同要求，随意指定材料供应商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违反合同要求，随意指定第三方检测单位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违反合同约定指定专业分包或劳务分包；施工合同范围内的单位工程或分部分项工程又另行发包。</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因建设单位原因造成单位工程停工超过三个月以上</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8分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GLJS1-8-12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工程项目不能按期开工；因建设单位原因，用地等移交滞后，致使施工企业不能按期开工</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档案管理(5分,行为代码GLJS1-9)</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GLJS1-9-1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未按照《建设工程文件归档规范》要求归档，因建设单位原因造成档案整理不及时、不完整、不规范</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1-3分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GLJS1-9-2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项目交工验收阶段或交工验收前，档案验收部门检查发现档案管理问题较多；或港口工程交工验收6个月内、航道工程交工验收1年内未通过竣工档案专项验收</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GLJS1-9-3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建设工程竣工验收后，建设单位未向建设行政主管部门或者其他有关部门移交建设项目档案的；或未按档案管理规定对档案进行有效存放保管</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w:t>
            </w:r>
          </w:p>
        </w:tc>
      </w:tr>
      <w:tr>
        <w:tblPrEx>
          <w:tblLayout w:type="fixed"/>
          <w:tblCellMar>
            <w:top w:w="0" w:type="dxa"/>
            <w:left w:w="0" w:type="dxa"/>
            <w:bottom w:w="0" w:type="dxa"/>
            <w:right w:w="0" w:type="dxa"/>
          </w:tblCellMar>
        </w:tblPrEx>
        <w:trPr>
          <w:trHeight w:val="43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维稳工作(5分,行为代码GLJS1-10)</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GLJS1-10-1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建设单位未按政策妥善处理好征地、拆迁及相关地方矛盾，影响工程建设</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5分/起</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GLJS1-10-2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因建设单位原因导致参建企业拖欠工程款、农民工工资、材料款等，引发不良社会影响；；或因拖欠问题造成群体事件；因建设单位原因发生民工向政府部门讨要拖欠工资的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5分/起</w:t>
            </w:r>
          </w:p>
        </w:tc>
      </w:tr>
      <w:tr>
        <w:tblPrEx>
          <w:tblLayout w:type="fixed"/>
          <w:tblCellMar>
            <w:top w:w="0" w:type="dxa"/>
            <w:left w:w="0" w:type="dxa"/>
            <w:bottom w:w="0" w:type="dxa"/>
            <w:right w:w="0" w:type="dxa"/>
          </w:tblCellMar>
        </w:tblPrEx>
        <w:trPr>
          <w:trHeight w:val="312" w:hRule="atLeast"/>
          <w:jc w:val="center"/>
        </w:trPr>
        <w:tc>
          <w:tcPr>
            <w:tcW w:w="1080" w:type="dxa"/>
            <w:vMerge w:val="restart"/>
            <w:tcBorders>
              <w:top w:val="single" w:color="000000" w:sz="4" w:space="0"/>
              <w:left w:val="single" w:color="000000" w:sz="4" w:space="0"/>
              <w:bottom w:val="nil"/>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廉政建设(5分，行为代码GLJS1-11)</w:t>
            </w:r>
          </w:p>
        </w:tc>
        <w:tc>
          <w:tcPr>
            <w:tcW w:w="1086"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GLJS1-11-1</w:t>
            </w:r>
          </w:p>
        </w:tc>
        <w:tc>
          <w:tcPr>
            <w:tcW w:w="10757" w:type="dxa"/>
            <w:gridSpan w:val="2"/>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未按规定签订廉政合同</w:t>
            </w:r>
          </w:p>
        </w:tc>
        <w:tc>
          <w:tcPr>
            <w:tcW w:w="2417"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3分</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nil"/>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757" w:type="dxa"/>
            <w:gridSpan w:val="2"/>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left"/>
              <w:rPr>
                <w:rFonts w:hint="eastAsia" w:ascii="仿宋" w:hAnsi="仿宋" w:eastAsia="仿宋" w:cs="仿宋"/>
                <w:i w:val="0"/>
                <w:iCs w:val="0"/>
                <w:color w:val="auto"/>
                <w:sz w:val="18"/>
                <w:szCs w:val="18"/>
                <w:u w:val="none"/>
              </w:rPr>
            </w:pPr>
          </w:p>
        </w:tc>
        <w:tc>
          <w:tcPr>
            <w:tcW w:w="2417"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nil"/>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sz w:val="18"/>
                <w:szCs w:val="18"/>
                <w:u w:val="none"/>
              </w:rPr>
              <w:t>项目党支部党建工作不规范（针对需设立或已设立党支部的情况）</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lang w:val="en-US" w:eastAsia="zh-CN"/>
              </w:rPr>
            </w:pPr>
            <w:r>
              <w:rPr>
                <w:rFonts w:hint="eastAsia" w:ascii="仿宋" w:hAnsi="仿宋" w:eastAsia="仿宋" w:cs="仿宋"/>
                <w:i w:val="0"/>
                <w:iCs w:val="0"/>
                <w:color w:val="auto"/>
                <w:sz w:val="18"/>
                <w:szCs w:val="18"/>
                <w:u w:val="none"/>
                <w:lang w:val="en-US" w:eastAsia="zh-CN"/>
              </w:rPr>
              <w:t>1～5分/次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nil"/>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18"/>
                <w:szCs w:val="18"/>
                <w:u w:val="none"/>
                <w:lang w:val="en-US" w:eastAsia="zh-CN" w:bidi="ar"/>
              </w:rPr>
            </w:pPr>
            <w:r>
              <w:rPr>
                <w:rFonts w:hint="eastAsia" w:ascii="仿宋" w:hAnsi="仿宋" w:eastAsia="仿宋" w:cs="仿宋"/>
                <w:i w:val="0"/>
                <w:iCs w:val="0"/>
                <w:color w:val="auto"/>
                <w:kern w:val="0"/>
                <w:sz w:val="18"/>
                <w:szCs w:val="18"/>
                <w:u w:val="none"/>
                <w:lang w:val="en-US" w:eastAsia="zh-CN" w:bidi="ar"/>
              </w:rPr>
              <w:t>GLJS1-11-3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kern w:val="0"/>
                <w:sz w:val="18"/>
                <w:szCs w:val="18"/>
                <w:u w:val="none"/>
                <w:lang w:val="en-US" w:eastAsia="zh-CN" w:bidi="ar"/>
              </w:rPr>
            </w:pPr>
            <w:r>
              <w:rPr>
                <w:rFonts w:hint="eastAsia" w:ascii="仿宋" w:hAnsi="仿宋" w:eastAsia="仿宋" w:cs="仿宋"/>
                <w:i w:val="0"/>
                <w:iCs w:val="0"/>
                <w:color w:val="auto"/>
                <w:kern w:val="0"/>
                <w:sz w:val="18"/>
                <w:szCs w:val="18"/>
                <w:u w:val="none"/>
                <w:lang w:val="en-US" w:eastAsia="zh-CN" w:bidi="ar"/>
              </w:rPr>
              <w:t>领导班子成员发生与本项目相关的腐败问题；行政警告以上处分，一例扣2分；行政记过以上处分的，一例扣3分；项目负责人发生重大腐败问题，被追究刑事责任的一例扣5分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r>
      <w:tr>
        <w:tblPrEx>
          <w:tblLayout w:type="fixed"/>
          <w:tblCellMar>
            <w:top w:w="0" w:type="dxa"/>
            <w:left w:w="0" w:type="dxa"/>
            <w:bottom w:w="0" w:type="dxa"/>
            <w:right w:w="0" w:type="dxa"/>
          </w:tblCellMar>
        </w:tblPrEx>
        <w:trPr>
          <w:trHeight w:val="31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生态环保(5分，行为代码GLJS1-12)</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GLJS1-12-1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未制定环保和水保措施，或措施环保和水保措施不健全、不完善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2分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GLJS1-12-2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生态环保不到位；环境保护工程、水土保持工程未与主体工程同时设计、施工和投入使用</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GLJS1-12-3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发生重大环保问题；因建设单位监管缺失，施工期间发生重大环保问题，并造成较大危害</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GLJS1-12-4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环保问题被投诉且未处理；因施工原因，造成环保问题被投诉并认定属实，且未及时处理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GLJS1-12-5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项目交工验收1年内交竣工环保、水保验收未通过</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4分</w:t>
            </w:r>
          </w:p>
        </w:tc>
      </w:tr>
      <w:tr>
        <w:tblPrEx>
          <w:tblLayout w:type="fixed"/>
          <w:tblCellMar>
            <w:top w:w="0" w:type="dxa"/>
            <w:left w:w="0" w:type="dxa"/>
            <w:bottom w:w="0" w:type="dxa"/>
            <w:right w:w="0" w:type="dxa"/>
          </w:tblCellMar>
        </w:tblPrEx>
        <w:trPr>
          <w:trHeight w:val="31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其他失信行为（行为代码GLJS2-1)</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被列入国家和省级惩戒备忘录公布的惩戒行为</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直接定为C级</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由于单位自身原因，应参加信用评价但未按要求提交相关评价资料申请参加信用评价的 。</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直接定为C级</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对交通运输主管部门提出的有关技术要求拒不执行的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被国务院交通运输主管部门通报批评。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扣15分/次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被省交通运输厅通报批评。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扣10分/次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省级及以上交通运输主管部门要求企业填报向社会公布的信息，存在虚假的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扣3分/次</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信用评价弄虚作假或以不正当手段骗取较高信用等级；或向有关单位出具或提供虚假证明的。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扣4分/次</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拒绝参与交通运输主管部门组织的应急抢险任务。</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扣2分/次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被地市级交通运输（港口）主管部门、省航道部门通报批评。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扣5分/次</w:t>
            </w:r>
          </w:p>
        </w:tc>
      </w:tr>
      <w:tr>
        <w:tblPrEx>
          <w:tblLayout w:type="fixed"/>
          <w:tblCellMar>
            <w:top w:w="0" w:type="dxa"/>
            <w:left w:w="0" w:type="dxa"/>
            <w:bottom w:w="0" w:type="dxa"/>
            <w:right w:w="0" w:type="dxa"/>
          </w:tblCellMar>
        </w:tblPrEx>
        <w:trPr>
          <w:trHeight w:val="31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已建成工程项目出现质量问题被地市级以上交通主管部门（或水运机构）通报</w:t>
            </w:r>
            <w:r>
              <w:rPr>
                <w:rStyle w:val="7"/>
                <w:i w:val="0"/>
                <w:iCs w:val="0"/>
                <w:color w:val="auto"/>
                <w:lang w:val="en-US" w:eastAsia="zh-CN" w:bidi="ar"/>
              </w:rPr>
              <w:t>，建设单位负有管理责任的。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扣5～25分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信用评价年度内，在省交通运输厅或省级质监机构（部门）组织的全省水运工程质量或安全监督综合检查中，受到批评的建设单位。按排名前后顺序用内插法依次扣10～15分/次；无排名时，受批评单位各扣15分。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扣10～15分/次</w:t>
            </w:r>
          </w:p>
        </w:tc>
      </w:tr>
      <w:tr>
        <w:tblPrEx>
          <w:tblLayout w:type="fixed"/>
          <w:tblCellMar>
            <w:top w:w="0" w:type="dxa"/>
            <w:left w:w="0" w:type="dxa"/>
            <w:bottom w:w="0" w:type="dxa"/>
            <w:right w:w="0" w:type="dxa"/>
          </w:tblCellMar>
        </w:tblPrEx>
        <w:trPr>
          <w:trHeight w:val="864"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信用评价年度内，在省交通运输厅或省级质监机构（部门）组织的全省水运工程质量或安全监督综合检查中，连续两次（年）排名在后5位或被批评的建设单位。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扣20分</w:t>
            </w:r>
          </w:p>
        </w:tc>
      </w:tr>
      <w:tr>
        <w:tblPrEx>
          <w:tblLayout w:type="fixed"/>
          <w:tblCellMar>
            <w:top w:w="0" w:type="dxa"/>
            <w:left w:w="0" w:type="dxa"/>
            <w:bottom w:w="0" w:type="dxa"/>
            <w:right w:w="0" w:type="dxa"/>
          </w:tblCellMar>
        </w:tblPrEx>
        <w:trPr>
          <w:trHeight w:val="864"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信用评价年度内，因在我省水运工程质量和安全生产的违法违规行为，被交通运输部予以信息公开的；或因工程建设质量安全等问题被列入省级工程质量安全重要事项阳光公开目录并予以信息公开的。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扣5～10分</w:t>
            </w:r>
          </w:p>
        </w:tc>
      </w:tr>
      <w:tr>
        <w:tblPrEx>
          <w:tblLayout w:type="fixed"/>
          <w:tblCellMar>
            <w:top w:w="0" w:type="dxa"/>
            <w:left w:w="0" w:type="dxa"/>
            <w:bottom w:w="0" w:type="dxa"/>
            <w:right w:w="0" w:type="dxa"/>
          </w:tblCellMar>
        </w:tblPrEx>
        <w:trPr>
          <w:trHeight w:val="864"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所建设管理的水运工程建设项目发生安全生产责任事故的，扣1.0分×事故起数×死亡人数；发生非责任事故的，扣0.5分×事故起数×死亡人数。（人员伤亡数量以省交通运输厅生产安全事故统计信息为准，事故类型以安全生产事故调查报告或事故调查处理单位有关证明为准，自然灾害造成的伤亡情况除外）</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扣0.5分或1.0分</w:t>
            </w:r>
            <w:r>
              <w:rPr>
                <w:rStyle w:val="9"/>
                <w:i w:val="0"/>
                <w:iCs w:val="0"/>
                <w:color w:val="auto"/>
                <w:lang w:val="en-US" w:eastAsia="zh-CN" w:bidi="ar"/>
              </w:rPr>
              <w:t>×事故起数×死亡人数</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GLJS2-15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其他被认定为失信的行为；项目建设单位存在其他失信行为（被投诉且属实、或负面新闻等）</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1-10分</w:t>
            </w:r>
          </w:p>
        </w:tc>
      </w:tr>
      <w:tr>
        <w:tblPrEx>
          <w:tblLayout w:type="fixed"/>
          <w:tblCellMar>
            <w:top w:w="0" w:type="dxa"/>
            <w:left w:w="0" w:type="dxa"/>
            <w:bottom w:w="0" w:type="dxa"/>
            <w:right w:w="0" w:type="dxa"/>
          </w:tblCellMar>
        </w:tblPrEx>
        <w:trPr>
          <w:trHeight w:val="432" w:hRule="atLeast"/>
          <w:jc w:val="center"/>
        </w:trPr>
        <w:tc>
          <w:tcPr>
            <w:tcW w:w="108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良好信誉行为（行为代码GLJS3）</w:t>
            </w: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获得省内地市级交通运输（港口）主管部门、省航道部门通报表彰。</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加1分/次(</w:t>
            </w:r>
            <w:r>
              <w:rPr>
                <w:rStyle w:val="9"/>
                <w:i w:val="0"/>
                <w:iCs w:val="0"/>
                <w:color w:val="auto"/>
                <w:lang w:val="en-US" w:eastAsia="zh-CN" w:bidi="ar"/>
              </w:rPr>
              <w:t>在企业总分增加，最高限值2分)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GLJS3-2</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获得省交通运输厅通报表彰。</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加2分/次(</w:t>
            </w:r>
            <w:r>
              <w:rPr>
                <w:rStyle w:val="9"/>
                <w:i w:val="0"/>
                <w:iCs w:val="0"/>
                <w:color w:val="auto"/>
                <w:lang w:val="en-US" w:eastAsia="zh-CN" w:bidi="ar"/>
              </w:rPr>
              <w:t>在企业总分增加，最高限值4分)</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GLJS3-3</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获得省部级通报表彰。</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加3分/次(</w:t>
            </w:r>
            <w:r>
              <w:rPr>
                <w:rStyle w:val="9"/>
                <w:i w:val="0"/>
                <w:iCs w:val="0"/>
                <w:color w:val="auto"/>
                <w:lang w:val="en-US" w:eastAsia="zh-CN" w:bidi="ar"/>
              </w:rPr>
              <w:t>在企业总分增加，最高限值6分)</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GLJS3-4</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组织或参加抢险救灾，并经县、区人民政府或交通运输主管部门认可的。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w:t>
            </w:r>
            <w:r>
              <w:rPr>
                <w:rStyle w:val="9"/>
                <w:i w:val="0"/>
                <w:iCs w:val="0"/>
                <w:color w:val="auto"/>
                <w:lang w:val="en-US" w:eastAsia="zh-CN" w:bidi="ar"/>
              </w:rPr>
              <w:t>0.2分/次（在企业总分增加，最高限值0.6分）</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GLJS3-5</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组织参加抢险救灾，并经地市人民政府或交通运输主管部门、省航道部门单位认可的。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加0.5分</w:t>
            </w:r>
            <w:r>
              <w:rPr>
                <w:rStyle w:val="9"/>
                <w:i w:val="0"/>
                <w:iCs w:val="0"/>
                <w:color w:val="auto"/>
                <w:lang w:val="en-US" w:eastAsia="zh-CN" w:bidi="ar"/>
              </w:rPr>
              <w:t>/次，（在企业总分增加，最高限值1分）</w:t>
            </w:r>
            <w:r>
              <w:rPr>
                <w:rStyle w:val="10"/>
                <w:rFonts w:ascii="仿宋" w:hAnsi="仿宋" w:eastAsia="仿宋" w:cs="仿宋"/>
                <w:i w:val="0"/>
                <w:iCs w:val="0"/>
                <w:color w:val="auto"/>
                <w:lang w:val="en-US" w:eastAsia="zh-CN" w:bidi="ar"/>
              </w:rPr>
              <w:t xml:space="preserve"> </w:t>
            </w:r>
          </w:p>
        </w:tc>
      </w:tr>
      <w:tr>
        <w:tblPrEx>
          <w:tblLayout w:type="fixed"/>
          <w:tblCellMar>
            <w:top w:w="0" w:type="dxa"/>
            <w:left w:w="0" w:type="dxa"/>
            <w:bottom w:w="0" w:type="dxa"/>
            <w:right w:w="0" w:type="dxa"/>
          </w:tblCellMar>
        </w:tblPrEx>
        <w:trPr>
          <w:trHeight w:val="432"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GLJS3-6</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评价年度内，企业在组织或参与抢险救灾、应急保障、国防战备等任务中受到省部级以上行政机关表彰或认可的。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加1.5分</w:t>
            </w:r>
            <w:r>
              <w:rPr>
                <w:rStyle w:val="9"/>
                <w:i w:val="0"/>
                <w:iCs w:val="0"/>
                <w:color w:val="auto"/>
                <w:lang w:val="en-US" w:eastAsia="zh-CN" w:bidi="ar"/>
              </w:rPr>
              <w:t>/次（在企业总分增加）</w:t>
            </w:r>
          </w:p>
        </w:tc>
      </w:tr>
      <w:tr>
        <w:tblPrEx>
          <w:tblLayout w:type="fixed"/>
          <w:tblCellMar>
            <w:top w:w="0" w:type="dxa"/>
            <w:left w:w="0" w:type="dxa"/>
            <w:bottom w:w="0" w:type="dxa"/>
            <w:right w:w="0" w:type="dxa"/>
          </w:tblCellMar>
        </w:tblPrEx>
        <w:trPr>
          <w:trHeight w:val="864"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GLJS3-7</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信用评价年度内，在省交通运输厅或省级质监机构（部门）组织的全省水运工程质量或安全监督综合检查中，受到表彰的项目建设单位。</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按排名的前后顺序依次加</w:t>
            </w:r>
            <w:r>
              <w:rPr>
                <w:rStyle w:val="9"/>
                <w:i w:val="0"/>
                <w:iCs w:val="0"/>
                <w:color w:val="auto"/>
                <w:lang w:val="en-US" w:eastAsia="zh-CN" w:bidi="ar"/>
              </w:rPr>
              <w:t>2分～1分/次（按内插法在企业总分增加）</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GLJS3-8</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在省交通运输厅或省级质监机构（部门）组织的全省水运工程质量或安全监督综合检查中，连续两次（年）排名在前5位的项目建设单位，加2分，连续两次（年）排名在前10位的项目建设单位，加1.5分。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加2分/1.5分</w:t>
            </w:r>
            <w:r>
              <w:rPr>
                <w:rStyle w:val="9"/>
                <w:i w:val="0"/>
                <w:iCs w:val="0"/>
                <w:color w:val="auto"/>
                <w:lang w:val="en-US" w:eastAsia="zh-CN" w:bidi="ar"/>
              </w:rPr>
              <w:t>(在企业总分增加)</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GLJS3-9</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信用评价年度内，建设项目在“品质工程”、“绿色水运“平安工地”等活动开展中成绩突出，被省交通运输厅确定或推荐为示范项目的加1.0分；被交通运输部确定为示范项目的加2.0分。</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加1.0/2.0分</w:t>
            </w:r>
            <w:r>
              <w:rPr>
                <w:rStyle w:val="9"/>
                <w:i w:val="0"/>
                <w:iCs w:val="0"/>
                <w:color w:val="auto"/>
                <w:lang w:val="en-US" w:eastAsia="zh-CN" w:bidi="ar"/>
              </w:rPr>
              <w:t>(在企业总分增加，最高限值2分)</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GLJS3-10</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信用评价年度内，建设单位在我省水运工程建设质量安全方面取得突出成绩，列入省级工程质量安全重要事项阳光公开目录并予以信息公开的。</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加1分(</w:t>
            </w:r>
            <w:r>
              <w:rPr>
                <w:rStyle w:val="9"/>
                <w:i w:val="0"/>
                <w:iCs w:val="0"/>
                <w:color w:val="auto"/>
                <w:lang w:val="en-US" w:eastAsia="zh-CN" w:bidi="ar"/>
              </w:rPr>
              <w:t>在企业总分增加，最高限值2分)</w:t>
            </w:r>
          </w:p>
        </w:tc>
      </w:tr>
      <w:tr>
        <w:tblPrEx>
          <w:tblLayout w:type="fixed"/>
          <w:tblCellMar>
            <w:top w:w="0" w:type="dxa"/>
            <w:left w:w="0" w:type="dxa"/>
            <w:bottom w:w="0" w:type="dxa"/>
            <w:right w:w="0" w:type="dxa"/>
          </w:tblCellMar>
        </w:tblPrEx>
        <w:trPr>
          <w:trHeight w:val="648" w:hRule="atLeast"/>
          <w:jc w:val="center"/>
        </w:trPr>
        <w:tc>
          <w:tcPr>
            <w:tcW w:w="108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jc w:val="center"/>
              <w:rPr>
                <w:rFonts w:hint="eastAsia" w:ascii="仿宋" w:hAnsi="仿宋" w:eastAsia="仿宋" w:cs="仿宋"/>
                <w:i w:val="0"/>
                <w:iCs w:val="0"/>
                <w:color w:val="auto"/>
                <w:sz w:val="18"/>
                <w:szCs w:val="18"/>
                <w:u w:val="none"/>
              </w:rPr>
            </w:pPr>
          </w:p>
        </w:tc>
        <w:tc>
          <w:tcPr>
            <w:tcW w:w="10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GLJS3-11</w:t>
            </w:r>
          </w:p>
        </w:tc>
        <w:tc>
          <w:tcPr>
            <w:tcW w:w="10757" w:type="dxa"/>
            <w:gridSpan w:val="2"/>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left"/>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评</w:t>
            </w:r>
            <w:r>
              <w:rPr>
                <w:rStyle w:val="11"/>
                <w:i w:val="0"/>
                <w:iCs w:val="0"/>
                <w:color w:val="auto"/>
                <w:lang w:val="en-US" w:eastAsia="zh-CN" w:bidi="ar"/>
              </w:rPr>
              <w:t>价年度内，</w:t>
            </w:r>
            <w:r>
              <w:rPr>
                <w:rStyle w:val="9"/>
                <w:i w:val="0"/>
                <w:iCs w:val="0"/>
                <w:color w:val="auto"/>
                <w:lang w:val="en-US" w:eastAsia="zh-CN" w:bidi="ar"/>
              </w:rPr>
              <w:t>建设单位作为主要单位承担的我省水运工程建设项目或科研课题获得国家科技进步奖（二等奖以上）、国家优质工程奖、詹天佑奖、鲁班奖。</w:t>
            </w:r>
          </w:p>
        </w:tc>
        <w:tc>
          <w:tcPr>
            <w:tcW w:w="241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keepNext w:val="0"/>
              <w:keepLines w:val="0"/>
              <w:widowControl/>
              <w:suppressLineNumbers w:val="0"/>
              <w:jc w:val="center"/>
              <w:textAlignment w:val="center"/>
              <w:rPr>
                <w:rFonts w:hint="eastAsia" w:ascii="仿宋" w:hAnsi="仿宋" w:eastAsia="仿宋" w:cs="仿宋"/>
                <w:i w:val="0"/>
                <w:iCs w:val="0"/>
                <w:color w:val="auto"/>
                <w:sz w:val="18"/>
                <w:szCs w:val="18"/>
                <w:u w:val="none"/>
              </w:rPr>
            </w:pPr>
            <w:r>
              <w:rPr>
                <w:rFonts w:hint="eastAsia" w:ascii="仿宋" w:hAnsi="仿宋" w:eastAsia="仿宋" w:cs="仿宋"/>
                <w:i w:val="0"/>
                <w:iCs w:val="0"/>
                <w:color w:val="auto"/>
                <w:kern w:val="0"/>
                <w:sz w:val="18"/>
                <w:szCs w:val="18"/>
                <w:u w:val="none"/>
                <w:lang w:val="en-US" w:eastAsia="zh-CN" w:bidi="ar"/>
              </w:rPr>
              <w:t>加0.5分</w:t>
            </w:r>
            <w:r>
              <w:rPr>
                <w:rStyle w:val="9"/>
                <w:i w:val="0"/>
                <w:iCs w:val="0"/>
                <w:color w:val="auto"/>
                <w:lang w:val="en-US" w:eastAsia="zh-CN" w:bidi="ar"/>
              </w:rPr>
              <w:t>(在企业总分增加，最高限值1分)</w:t>
            </w:r>
          </w:p>
        </w:tc>
      </w:tr>
    </w:tbl>
    <w:p>
      <w:pPr>
        <w:tabs>
          <w:tab w:val="left" w:pos="13230"/>
        </w:tabs>
        <w:ind w:firstLine="568"/>
        <w:jc w:val="center"/>
        <w:rPr>
          <w:rFonts w:hint="eastAsia" w:ascii="宋体" w:hAnsi="宋体" w:cs="仿宋_GB2312"/>
          <w:b/>
          <w:bCs/>
          <w:color w:val="auto"/>
          <w:kern w:val="0"/>
          <w:szCs w:val="32"/>
        </w:rPr>
      </w:pPr>
    </w:p>
    <w:p>
      <w:pPr>
        <w:tabs>
          <w:tab w:val="left" w:pos="13230"/>
        </w:tabs>
        <w:ind w:firstLine="568"/>
        <w:jc w:val="center"/>
        <w:rPr>
          <w:rFonts w:hint="eastAsia" w:ascii="宋体" w:hAnsi="宋体" w:cs="仿宋_GB2312"/>
          <w:b/>
          <w:bCs/>
          <w:color w:val="auto"/>
          <w:kern w:val="0"/>
          <w:szCs w:val="32"/>
        </w:rPr>
      </w:pPr>
    </w:p>
    <w:p>
      <w:pPr>
        <w:tabs>
          <w:tab w:val="left" w:pos="13230"/>
        </w:tabs>
        <w:ind w:firstLine="568"/>
        <w:jc w:val="center"/>
        <w:rPr>
          <w:rFonts w:hint="eastAsia" w:ascii="宋体" w:hAnsi="宋体" w:cs="仿宋_GB2312"/>
          <w:b/>
          <w:bCs/>
          <w:color w:val="auto"/>
          <w:kern w:val="0"/>
          <w:szCs w:val="32"/>
        </w:rPr>
      </w:pPr>
    </w:p>
    <w:p>
      <w:pPr>
        <w:tabs>
          <w:tab w:val="left" w:pos="13230"/>
        </w:tabs>
        <w:ind w:firstLine="568"/>
        <w:jc w:val="center"/>
        <w:rPr>
          <w:rFonts w:hint="eastAsia" w:ascii="宋体" w:hAnsi="宋体" w:cs="仿宋_GB2312"/>
          <w:b/>
          <w:bCs/>
          <w:color w:val="auto"/>
          <w:kern w:val="0"/>
          <w:szCs w:val="32"/>
        </w:rPr>
        <w:sectPr>
          <w:pgSz w:w="16838" w:h="11906" w:orient="landscape"/>
          <w:pgMar w:top="607" w:right="720" w:bottom="607" w:left="720" w:header="851" w:footer="992" w:gutter="0"/>
          <w:pgNumType w:fmt="decimal"/>
          <w:cols w:space="720" w:num="1"/>
          <w:rtlGutter w:val="0"/>
          <w:docGrid w:type="lines" w:linePitch="312" w:charSpace="0"/>
        </w:sectPr>
      </w:pPr>
    </w:p>
    <w:p>
      <w:pPr>
        <w:tabs>
          <w:tab w:val="left" w:pos="13230"/>
        </w:tabs>
        <w:ind w:firstLine="568"/>
        <w:jc w:val="center"/>
        <w:rPr>
          <w:rFonts w:hint="eastAsia" w:ascii="宋体" w:hAnsi="宋体" w:cs="仿宋_GB2312"/>
          <w:b/>
          <w:bCs/>
          <w:color w:val="auto"/>
          <w:kern w:val="0"/>
          <w:szCs w:val="32"/>
        </w:rPr>
      </w:pPr>
    </w:p>
    <w:p>
      <w:pPr>
        <w:tabs>
          <w:tab w:val="left" w:pos="13230"/>
        </w:tabs>
        <w:ind w:firstLine="568"/>
        <w:jc w:val="center"/>
        <w:rPr>
          <w:rFonts w:ascii="宋体" w:eastAsia="宋体" w:cs="宋体"/>
          <w:color w:val="auto"/>
          <w:szCs w:val="32"/>
        </w:rPr>
      </w:pPr>
      <w:r>
        <w:rPr>
          <w:rFonts w:hint="eastAsia" w:ascii="宋体" w:hAnsi="宋体" w:cs="仿宋_GB2312"/>
          <w:b/>
          <w:bCs/>
          <w:color w:val="auto"/>
          <w:kern w:val="0"/>
          <w:szCs w:val="32"/>
        </w:rPr>
        <w:t>广东省水运工程设计企业信用行为评定标准（投标行为）</w:t>
      </w:r>
    </w:p>
    <w:tbl>
      <w:tblPr>
        <w:tblStyle w:val="6"/>
        <w:tblW w:w="14208"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116"/>
        <w:gridCol w:w="1628"/>
        <w:gridCol w:w="15"/>
        <w:gridCol w:w="8138"/>
        <w:gridCol w:w="2111"/>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75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81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投标行为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（满分15分，扣完为止）</w:t>
            </w:r>
          </w:p>
        </w:tc>
        <w:tc>
          <w:tcPr>
            <w:tcW w:w="111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SYSJ1-1-1</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涂改、伪造、出借、转让资质证书</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SYSJ1-1-2</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以他人名义投标或者以其他方式弄虚作假，骗取中标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SYSJ1-1-3</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超越本单位资质等级承揽工程</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SYSJ1-1-4</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投标人之间相互串通投标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SYSJ1-1-5</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向招标人或者评标委员会成员行贿谋取中标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SYSJ1-1-6</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法律、法规规定的其他违法情形</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SYSJ1-1-7</w:t>
            </w:r>
          </w:p>
        </w:tc>
        <w:tc>
          <w:tcPr>
            <w:tcW w:w="8138" w:type="dxa"/>
            <w:tcBorders>
              <w:top w:val="single" w:color="auto" w:sz="4" w:space="0"/>
              <w:left w:val="single" w:color="auto" w:sz="4" w:space="0"/>
              <w:bottom w:val="single" w:color="auto" w:sz="4" w:space="0"/>
              <w:right w:val="single" w:color="auto" w:sz="4" w:space="0"/>
            </w:tcBorders>
            <w:vAlign w:val="bottom"/>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因违反法律、法规、规章被禁止投标后，在禁止期内仍参与投标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D级延期半年/次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SYSJ1-1-8</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因其他情形被广东省交通运输厅通报批评并取消在广东省交通建设市场投标资格</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SYSJ1-2-1</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资格预审申请文件或投标文件存在严重造假行为，事实认定清楚</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SYSJ1-2-2</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u w:val="single"/>
              </w:rPr>
            </w:pPr>
            <w:r>
              <w:rPr>
                <w:rFonts w:hint="eastAsia" w:ascii="仿宋" w:hAnsi="仿宋" w:eastAsia="仿宋" w:cs="仿宋"/>
                <w:color w:val="auto"/>
                <w:sz w:val="18"/>
                <w:szCs w:val="18"/>
              </w:rPr>
              <w:t>中标后无正当理由放弃中标;或</w:t>
            </w:r>
            <w:r>
              <w:rPr>
                <w:rFonts w:hint="eastAsia" w:ascii="仿宋" w:hAnsi="仿宋" w:eastAsia="仿宋" w:cs="仿宋"/>
                <w:color w:val="auto"/>
                <w:kern w:val="0"/>
                <w:sz w:val="18"/>
                <w:szCs w:val="18"/>
              </w:rPr>
              <w:t>中标人拒不按照招标文件要求提交履约保证金</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SYSJ1-2-3</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捏造事实、伪造材料或者以非法手段取得证明材料，进行虚假、恶意投诉</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SYSJ1-2-4</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未按时确认补遗书等招标人发出的通知</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SYSJ1-2-5</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无正当理由未在规定时间内签订合同(非投标企业原因除外)</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SYSJ1-2-6</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对同一合同段递交2份及以上资格预审申请文件或投标文件</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SYSJ1-2-7</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采用资格预审招标方式的，</w:t>
            </w:r>
            <w:r>
              <w:rPr>
                <w:rFonts w:hint="eastAsia" w:ascii="仿宋" w:hAnsi="仿宋" w:eastAsia="仿宋" w:cs="仿宋"/>
                <w:color w:val="auto"/>
                <w:kern w:val="0"/>
                <w:sz w:val="18"/>
                <w:szCs w:val="18"/>
              </w:rPr>
              <w:t>非招标人或招标文件原因放弃投标，未提前书面告知招标人</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SYSJ1-2-8</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不及时反馈评标澄清</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SYSJ1-2-9</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投标文件中信用等级承诺书填写错误、不准确</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SYSJ1-2-10</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其他被认定的失信行为</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1～3分/次</w:t>
            </w:r>
          </w:p>
        </w:tc>
      </w:tr>
    </w:tbl>
    <w:p>
      <w:pPr>
        <w:tabs>
          <w:tab w:val="left" w:pos="1473"/>
          <w:tab w:val="left" w:pos="3100"/>
          <w:tab w:val="left" w:pos="4728"/>
          <w:tab w:val="left" w:pos="11248"/>
        </w:tabs>
        <w:ind w:left="288"/>
        <w:jc w:val="center"/>
        <w:rPr>
          <w:rFonts w:ascii="宋体" w:eastAsia="宋体" w:cs="宋体"/>
          <w:b/>
          <w:bCs/>
          <w:color w:val="auto"/>
          <w:kern w:val="0"/>
          <w:szCs w:val="32"/>
        </w:rPr>
      </w:pPr>
      <w:r>
        <w:rPr>
          <w:rFonts w:hint="eastAsia" w:ascii="宋体" w:hAnsi="宋体" w:cs="仿宋_GB2312"/>
          <w:b/>
          <w:bCs/>
          <w:color w:val="auto"/>
          <w:kern w:val="0"/>
          <w:szCs w:val="32"/>
        </w:rPr>
        <w:t>广东省水运工程设计企业信用行为评定标准（履约行为）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187"/>
        <w:gridCol w:w="1417"/>
        <w:gridCol w:w="8789"/>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评定内容</w:t>
            </w:r>
          </w:p>
        </w:tc>
        <w:tc>
          <w:tcPr>
            <w:tcW w:w="2604"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行为代码</w:t>
            </w:r>
          </w:p>
        </w:tc>
        <w:tc>
          <w:tcPr>
            <w:tcW w:w="878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18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SYSJ2-1-1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将中标项目转包</w:t>
            </w:r>
            <w:r>
              <w:rPr>
                <w:rFonts w:hint="eastAsia" w:ascii="仿宋" w:hAnsi="仿宋" w:eastAsia="仿宋" w:cs="仿宋"/>
                <w:color w:val="auto"/>
                <w:kern w:val="0"/>
                <w:sz w:val="18"/>
                <w:szCs w:val="18"/>
              </w:rPr>
              <w:t>或违法分包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SYSJ2-1-2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因设计原因引起重大质量事故（二级以上）或重大以上等级安全责任事故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人员到位（满分15分，扣完为止）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投标书承诺的项目负责人未经项目法人(项目建设单位)同意更换</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SYSJ2-2-2</w:t>
            </w:r>
          </w:p>
        </w:tc>
        <w:tc>
          <w:tcPr>
            <w:tcW w:w="878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投标书承诺的专业负责人未经项目法人(项目建设单位)同意更换（包括提交图纸中各专业负责人或编制、</w:t>
            </w:r>
          </w:p>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审核人员）</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SYSJ2-2-3</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 xml:space="preserve">勘察设计人员不具备相应执业资格条件 </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SYSJ2-2-4</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投标书承诺的施工期设计代表未经项目法人(项目建设单位)同意更换</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SYSJ2-2-5</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施工期设计代表因自身过失原因被更换</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设计服务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（满分20分，扣完为止）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因勘察设计原因未按合同约定时间提交设计文件成果</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因自身原因未按合同约定开展外业工作或因自身原因提交外业成果的时间不满足合同规定或设计要求</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SYSJ2-3-3</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在设计变更中与他人串通谋取非法利益</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SYSJ2-3-4</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因自身原因未按时参加交（竣）工验收或工程质量事故分析，或未按时参加重大设计变更方案评审会</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SYSJ2-3-5</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勘察设计单位指定建筑材料、建筑构配件、设备等生产厂、供应商</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SYSJ2-3-6</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未按合同承诺提供设计服务引起工期延误；或</w:t>
            </w:r>
            <w:r>
              <w:rPr>
                <w:rFonts w:hint="eastAsia" w:ascii="仿宋" w:hAnsi="仿宋" w:eastAsia="仿宋" w:cs="仿宋"/>
                <w:color w:val="auto"/>
                <w:kern w:val="0"/>
                <w:sz w:val="18"/>
                <w:szCs w:val="18"/>
              </w:rPr>
              <w:t>因勘察设计进度原因，引起项目推迟开工</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SYSJ2-3-7</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施工期设计代表未按要求常驻现场并及时对重要工序等进行确认或及时解决有关技术问题</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SYSJ2-3-8</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未按合同承诺按时提交设计文件；或外业工作不符合合同约定或设计要求</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SYSJ2-3-9</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勘察设计文件签署不全，或签章不全、未经授权代签或借用他人资格签章</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SYSJ2-3-10</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成果文件不满足勘察设计深度要求；或不满足有关主管部门批复意见要求；或对批复意见或审查意见的技术方案未落实；或设计方案、措施、工期不科学、不合理</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bl>
    <w:p>
      <w:pPr>
        <w:tabs>
          <w:tab w:val="left" w:pos="13125"/>
        </w:tabs>
        <w:ind w:firstLine="568"/>
        <w:jc w:val="center"/>
        <w:rPr>
          <w:rFonts w:hint="eastAsia" w:ascii="宋体" w:hAnsi="宋体" w:cs="仿宋_GB2312"/>
          <w:b/>
          <w:bCs/>
          <w:color w:val="auto"/>
          <w:kern w:val="0"/>
          <w:szCs w:val="32"/>
        </w:rPr>
      </w:pPr>
      <w:r>
        <w:rPr>
          <w:rFonts w:hint="eastAsia" w:ascii="宋体" w:hAnsi="宋体" w:cs="仿宋_GB2312"/>
          <w:b/>
          <w:bCs/>
          <w:color w:val="auto"/>
          <w:kern w:val="0"/>
          <w:szCs w:val="32"/>
        </w:rPr>
        <w:t>广东省水运工程设计企业信用行为评定标准（履约行为）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6"/>
        <w:gridCol w:w="1276"/>
        <w:gridCol w:w="1417"/>
        <w:gridCol w:w="8789"/>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评定内容</w:t>
            </w:r>
          </w:p>
        </w:tc>
        <w:tc>
          <w:tcPr>
            <w:tcW w:w="269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行为代码</w:t>
            </w:r>
          </w:p>
        </w:tc>
        <w:tc>
          <w:tcPr>
            <w:tcW w:w="878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restart"/>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276"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质量安全</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（满分30分，扣完为止）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因勘察设计原因引起较大安全责任事故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因勘察设计原因引起一般安全责任事故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10分/次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SYSJ2-4-3</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因勘察设计原因引起重大（二级以下）、一般以上质量事故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SYSJ2-4-4</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 xml:space="preserve">未按照工程建设强制性标准进行设计，或擅自降低设计标准 </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SYSJ2-4-5</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因设计原因发生重大设计变更导致工程建设费用增加或工期延误较多</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SYSJ2-4-6</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因设计原因发生质量问题或严重质量缺陷</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SYSJ2-4-7</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未按合同规定进行地质勘察；或提供虚假地质勘察资料</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SYSJ2-4-8</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地质勘察时间滞后，地质勘察成果未利用；或地质勘察深度不足</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SYSJ2-4-9</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勘察设计工作大纲及实施细则未落实</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SYSJ2-4-10</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与各阶段工程设计配套的造价文件或工程量清单编制不规范，质量较差；或工程量清单数量图标错漏较多；或设计工程数量出现较大偏差</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SYSJ2-4-11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未按要求对高风险工程进行初步设计阶段安全风险评估</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SYSJ2-4-12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施工图设计中未明确验收标准和方法</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2～4分/次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SYSJ2-4-13</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勘察设计单位未对工程实体质量是否满足设计要求提出评价意见，或者评价意见不客观</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社会责任</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（满分5分，扣完为止）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SYSJ2-5-1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未经专利权人许可实施其专利的，或假冒他人专利</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SYSJ2-5-2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因设计原因造成环境污染</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其他</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SYSJ2-6-1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承担的工程未批先建或设计变更未批先干，未提出书面警示意见</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096"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SYSJ2-6-2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w:t>
            </w:r>
          </w:p>
        </w:tc>
      </w:tr>
    </w:tbl>
    <w:p>
      <w:pPr>
        <w:tabs>
          <w:tab w:val="left" w:pos="1473"/>
          <w:tab w:val="left" w:pos="3227"/>
          <w:tab w:val="left" w:pos="4503"/>
          <w:tab w:val="left" w:pos="12866"/>
        </w:tabs>
        <w:ind w:left="288"/>
        <w:jc w:val="left"/>
        <w:rPr>
          <w:rFonts w:ascii="仿宋_GB2312" w:hAnsi="仿宋"/>
          <w:color w:val="auto"/>
          <w:sz w:val="18"/>
          <w:szCs w:val="18"/>
        </w:rPr>
      </w:pPr>
      <w:r>
        <w:rPr>
          <w:rFonts w:ascii="仿宋_GB2312" w:hAnsi="仿宋"/>
          <w:color w:val="auto"/>
          <w:sz w:val="18"/>
          <w:szCs w:val="18"/>
        </w:rPr>
        <w:tab/>
      </w:r>
      <w:r>
        <w:rPr>
          <w:rFonts w:ascii="仿宋_GB2312" w:hAnsi="仿宋"/>
          <w:color w:val="auto"/>
          <w:sz w:val="18"/>
          <w:szCs w:val="18"/>
        </w:rPr>
        <w:tab/>
      </w:r>
      <w:r>
        <w:rPr>
          <w:rFonts w:ascii="仿宋_GB2312" w:hAnsi="仿宋"/>
          <w:color w:val="auto"/>
          <w:sz w:val="18"/>
          <w:szCs w:val="18"/>
        </w:rPr>
        <w:tab/>
      </w:r>
    </w:p>
    <w:p>
      <w:pPr>
        <w:tabs>
          <w:tab w:val="left" w:pos="13035"/>
        </w:tabs>
        <w:ind w:firstLine="568"/>
        <w:jc w:val="center"/>
        <w:rPr>
          <w:rFonts w:ascii="仿宋" w:hAnsi="仿宋" w:eastAsia="仿宋"/>
          <w:color w:val="auto"/>
          <w:sz w:val="20"/>
          <w:szCs w:val="20"/>
        </w:rPr>
      </w:pPr>
      <w:r>
        <w:rPr>
          <w:rFonts w:hint="eastAsia" w:ascii="宋体" w:hAnsi="宋体" w:cs="仿宋_GB2312"/>
          <w:b/>
          <w:bCs/>
          <w:color w:val="auto"/>
          <w:kern w:val="0"/>
          <w:szCs w:val="32"/>
        </w:rPr>
        <w:t>广东省水运工程设计企业信用行为评定标准（其他行为）</w:t>
      </w:r>
    </w:p>
    <w:tbl>
      <w:tblPr>
        <w:tblStyle w:val="6"/>
        <w:tblW w:w="15326"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7"/>
        <w:gridCol w:w="1013"/>
        <w:gridCol w:w="1206"/>
        <w:gridCol w:w="9174"/>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219"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917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其它行为-失信行为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（满分15分，在总分中扣除，扣完为止）</w:t>
            </w:r>
          </w:p>
        </w:tc>
        <w:tc>
          <w:tcPr>
            <w:tcW w:w="101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SYSJ3-1-1</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被司法机关认定有行贿、受贿行为，并构成犯罪</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SYSJ3-1-2</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企业在资质申请、延续、变更中存在造假行为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SYSJ3-1-3</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与招标人串通投标</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SYSJ3-1-4</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与招标人订立背离合同实质性内容的其他协议</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SYSJ3-1-5</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由于企业自身原因，应参加信用评价但未按要求提交相关评价资料申请参加信用评价的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SYSJ3-1-6</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由于设计企业主要责任，已建成工程项目出现质量问题被地市级以上交通主管部门（或相关管理机构）通报的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w:t>
            </w:r>
            <w:r>
              <w:rPr>
                <w:rFonts w:hint="eastAsia" w:ascii="仿宋" w:hAnsi="仿宋" w:eastAsia="仿宋" w:cs="仿宋"/>
                <w:color w:val="auto"/>
                <w:sz w:val="18"/>
                <w:szCs w:val="18"/>
              </w:rPr>
              <w:t>～</w:t>
            </w:r>
            <w:r>
              <w:rPr>
                <w:rFonts w:hint="eastAsia" w:ascii="仿宋" w:hAnsi="仿宋" w:eastAsia="仿宋" w:cs="仿宋"/>
                <w:color w:val="auto"/>
                <w:kern w:val="0"/>
                <w:sz w:val="18"/>
                <w:szCs w:val="18"/>
              </w:rPr>
              <w:t>15分(视严重程度)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SYSJ3-2-1</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未按规定填报或变更信用信息</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SYSJ3-2-2</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填报或变更信用信息存在造假行为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SYSJ3-2-3</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弄虚作假或以不正当手段骗取较高信用等级</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SYSJ3-2-4</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被省级以上交通运输主管部门或部属单位通报批评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SYSJ3-2-5</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w:t>
            </w:r>
            <w:r>
              <w:rPr>
                <w:rFonts w:hint="eastAsia" w:ascii="仿宋" w:hAnsi="仿宋" w:eastAsia="仿宋" w:cs="仿宋"/>
                <w:color w:val="auto"/>
                <w:kern w:val="0"/>
                <w:sz w:val="18"/>
                <w:szCs w:val="18"/>
              </w:rPr>
              <w:t>地级以上市</w:t>
            </w:r>
            <w:r>
              <w:rPr>
                <w:rFonts w:hint="eastAsia" w:ascii="仿宋" w:hAnsi="仿宋" w:eastAsia="仿宋" w:cs="仿宋"/>
                <w:color w:val="auto"/>
                <w:sz w:val="18"/>
                <w:szCs w:val="18"/>
              </w:rPr>
              <w:t>交通运输（港口）主管部门通报批评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SYSJ3-2-6</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进行虚假投诉</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SYSJ3-2-7</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因自身原因未按时参加交（竣）工验收或工程质量事故分析，或未按时参加重大设计变更方案评审会</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SYSJ3-2-8</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因在我省水运工程质量和安全生产的违法违规行为，被交通运输部予以信息公开的；或因工程建设质量安全等问题被列入省级工程质量安全重要事项阳光公开目录并予以信息公开的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SYSJ3-2-9</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其他行为-良好信誉行为</w:t>
            </w: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SYSJ4-1-1</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评价年度内，企业在抢险救灾、应急保障、国防战备等任务中受到省部级以上行政机关表彰</w:t>
            </w:r>
          </w:p>
        </w:tc>
        <w:tc>
          <w:tcPr>
            <w:tcW w:w="212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1分/次（项），累计加分不超过3分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SYSJ4-1-2</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评价年度内，承担的水运工程建设项目获得国家科技进步奖（二等奖以上）、国家优质工程奖、詹天佑奖、鲁班奖</w:t>
            </w:r>
          </w:p>
        </w:tc>
        <w:tc>
          <w:tcPr>
            <w:tcW w:w="212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SYSJ4-1-3</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参加抢险救灾，并经地级以上市交通运输等行政主管部门认可的，</w:t>
            </w:r>
            <w:r>
              <w:rPr>
                <w:rFonts w:hint="eastAsia" w:ascii="仿宋" w:hAnsi="仿宋" w:eastAsia="仿宋" w:cs="仿宋"/>
                <w:color w:val="auto"/>
                <w:sz w:val="18"/>
                <w:szCs w:val="18"/>
              </w:rPr>
              <w:t>0.5</w:t>
            </w:r>
            <w:r>
              <w:rPr>
                <w:rFonts w:hint="eastAsia" w:ascii="仿宋" w:hAnsi="仿宋" w:eastAsia="仿宋" w:cs="仿宋"/>
                <w:color w:val="auto"/>
                <w:kern w:val="0"/>
                <w:sz w:val="18"/>
                <w:szCs w:val="18"/>
              </w:rPr>
              <w:t>分/次，最高加1分</w:t>
            </w:r>
          </w:p>
        </w:tc>
        <w:tc>
          <w:tcPr>
            <w:tcW w:w="212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累计加分不超过2分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SYSJ4-1-4</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获得地级以上市交通运输主管部门通报表彰，0.5分/次，最高加1.5分</w:t>
            </w:r>
          </w:p>
        </w:tc>
        <w:tc>
          <w:tcPr>
            <w:tcW w:w="212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SYSJ4-1-5</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获得省级</w:t>
            </w:r>
            <w:r>
              <w:rPr>
                <w:rFonts w:hint="eastAsia" w:ascii="仿宋" w:hAnsi="仿宋" w:eastAsia="仿宋" w:cs="仿宋"/>
                <w:color w:val="auto"/>
                <w:sz w:val="18"/>
                <w:szCs w:val="18"/>
              </w:rPr>
              <w:t>以上</w:t>
            </w:r>
            <w:r>
              <w:rPr>
                <w:rFonts w:hint="eastAsia" w:ascii="仿宋" w:hAnsi="仿宋" w:eastAsia="仿宋" w:cs="仿宋"/>
                <w:color w:val="auto"/>
                <w:kern w:val="0"/>
                <w:sz w:val="18"/>
                <w:szCs w:val="18"/>
              </w:rPr>
              <w:t>交通运输主管部门通报表彰1分/次，最高加2分</w:t>
            </w:r>
          </w:p>
        </w:tc>
        <w:tc>
          <w:tcPr>
            <w:tcW w:w="212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exact"/>
          <w:jc w:val="center"/>
        </w:trPr>
        <w:tc>
          <w:tcPr>
            <w:tcW w:w="2820" w:type="dxa"/>
            <w:gridSpan w:val="2"/>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SYSJ4-1-6</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信用评价年度内，从业单位在我省水运工程建设质量安全方面取得突出成绩，列入省级工程质量安全重要事项阳光公开目录并予以信息公开的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加1分(在企业总分增加，最高限值2分)</w:t>
            </w:r>
          </w:p>
        </w:tc>
      </w:tr>
    </w:tbl>
    <w:p>
      <w:pPr>
        <w:spacing w:line="360" w:lineRule="auto"/>
        <w:rPr>
          <w:rFonts w:hint="eastAsia" w:ascii="宋体" w:hAnsi="宋体" w:cs="仿宋_GB2312"/>
          <w:color w:val="auto"/>
          <w:sz w:val="24"/>
          <w:szCs w:val="24"/>
        </w:rPr>
      </w:pP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jc w:val="both"/>
        <w:textAlignment w:val="auto"/>
        <w:outlineLvl w:val="9"/>
        <w:rPr>
          <w:rFonts w:ascii="宋体" w:eastAsia="宋体" w:cs="宋体"/>
          <w:color w:val="auto"/>
          <w:sz w:val="24"/>
          <w:szCs w:val="24"/>
        </w:rPr>
      </w:pPr>
      <w:r>
        <w:rPr>
          <w:rFonts w:hint="eastAsia" w:ascii="宋体" w:hAnsi="宋体" w:cs="仿宋_GB2312"/>
          <w:color w:val="auto"/>
          <w:sz w:val="24"/>
          <w:szCs w:val="24"/>
        </w:rPr>
        <w:t>注：</w:t>
      </w:r>
      <w:r>
        <w:rPr>
          <w:rFonts w:ascii="宋体" w:hAnsi="宋体" w:cs="宋体"/>
          <w:color w:val="auto"/>
          <w:sz w:val="24"/>
          <w:szCs w:val="24"/>
        </w:rPr>
        <w:t>1.</w:t>
      </w:r>
      <w:r>
        <w:rPr>
          <w:rFonts w:hint="eastAsia" w:ascii="宋体" w:hAnsi="宋体" w:cs="仿宋_GB2312"/>
          <w:color w:val="auto"/>
          <w:sz w:val="24"/>
          <w:szCs w:val="24"/>
        </w:rPr>
        <w:t>“其他被认定的失信行为”是指由省级以上交通运输主管部门依据法律法规或其他规定认定的企业其他失信行为。</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42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 xml:space="preserve">2.SYSJ2-1-2 </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-1</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-2</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-3</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-6</w:t>
      </w:r>
      <w:r>
        <w:rPr>
          <w:rFonts w:hint="eastAsia" w:ascii="宋体" w:hAnsi="宋体" w:cs="仿宋_GB2312"/>
          <w:color w:val="auto"/>
          <w:sz w:val="24"/>
          <w:szCs w:val="24"/>
        </w:rPr>
        <w:t>应依据有关部门的事故调查处理结果认定。质量事故、安全事故的等级划分标准执行《生产安全事故报告和调查处理条例》（国务院第</w:t>
      </w:r>
      <w:r>
        <w:rPr>
          <w:rFonts w:ascii="宋体" w:hAnsi="宋体" w:cs="宋体"/>
          <w:color w:val="auto"/>
          <w:sz w:val="24"/>
          <w:szCs w:val="24"/>
        </w:rPr>
        <w:t>493</w:t>
      </w:r>
      <w:r>
        <w:rPr>
          <w:rFonts w:hint="eastAsia" w:ascii="宋体" w:hAnsi="宋体" w:cs="仿宋_GB2312"/>
          <w:color w:val="auto"/>
          <w:sz w:val="24"/>
          <w:szCs w:val="24"/>
        </w:rPr>
        <w:t>号令）、《</w:t>
      </w:r>
      <w:r>
        <w:rPr>
          <w:rFonts w:hint="eastAsia" w:ascii="宋体" w:hAnsi="宋体" w:cs="仿宋_GB2312"/>
          <w:color w:val="auto"/>
          <w:sz w:val="24"/>
          <w:szCs w:val="24"/>
          <w:lang w:eastAsia="zh-CN"/>
        </w:rPr>
        <w:t>水运</w:t>
      </w:r>
      <w:r>
        <w:rPr>
          <w:rFonts w:hint="eastAsia" w:ascii="宋体" w:hAnsi="宋体" w:cs="仿宋_GB2312"/>
          <w:color w:val="auto"/>
          <w:sz w:val="24"/>
          <w:szCs w:val="24"/>
        </w:rPr>
        <w:t>水运建设工程质量事故等级划分和报告制度》（交办安监〔</w:t>
      </w:r>
      <w:r>
        <w:rPr>
          <w:rFonts w:hint="eastAsia" w:ascii="宋体" w:hAnsi="宋体" w:cs="宋体"/>
          <w:color w:val="auto"/>
          <w:sz w:val="24"/>
          <w:szCs w:val="24"/>
        </w:rPr>
        <w:t>2016</w:t>
      </w:r>
      <w:r>
        <w:rPr>
          <w:rFonts w:hint="eastAsia" w:ascii="宋体" w:hAnsi="宋体" w:cs="仿宋_GB2312"/>
          <w:color w:val="auto"/>
          <w:sz w:val="24"/>
          <w:szCs w:val="24"/>
        </w:rPr>
        <w:t>〕</w:t>
      </w:r>
      <w:r>
        <w:rPr>
          <w:rFonts w:hint="eastAsia" w:ascii="宋体" w:hAnsi="宋体" w:cs="宋体"/>
          <w:color w:val="auto"/>
          <w:sz w:val="24"/>
          <w:szCs w:val="24"/>
        </w:rPr>
        <w:t>146</w:t>
      </w:r>
      <w:r>
        <w:rPr>
          <w:rFonts w:hint="eastAsia" w:ascii="宋体" w:hAnsi="宋体" w:cs="仿宋_GB2312"/>
          <w:color w:val="auto"/>
          <w:sz w:val="24"/>
          <w:szCs w:val="24"/>
        </w:rPr>
        <w:t>号）等。</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jc w:val="both"/>
        <w:textAlignment w:val="auto"/>
        <w:outlineLvl w:val="9"/>
        <w:rPr>
          <w:rFonts w:ascii="宋体" w:eastAsia="宋体" w:cs="宋体"/>
          <w:color w:val="auto"/>
          <w:sz w:val="24"/>
          <w:szCs w:val="24"/>
        </w:rPr>
      </w:pPr>
      <w:r>
        <w:rPr>
          <w:rFonts w:ascii="宋体" w:hAnsi="宋体" w:cs="宋体"/>
          <w:color w:val="auto"/>
          <w:sz w:val="24"/>
          <w:szCs w:val="24"/>
        </w:rPr>
        <w:t xml:space="preserve">    3.SYSJ2-2-1</w:t>
      </w:r>
      <w:r>
        <w:rPr>
          <w:rFonts w:hint="eastAsia" w:ascii="宋体" w:hAnsi="宋体" w:cs="仿宋_GB2312"/>
          <w:color w:val="auto"/>
          <w:sz w:val="24"/>
          <w:szCs w:val="24"/>
        </w:rPr>
        <w:t>、</w:t>
      </w:r>
      <w:r>
        <w:rPr>
          <w:rFonts w:ascii="宋体" w:hAnsi="宋体" w:cs="宋体"/>
          <w:color w:val="auto"/>
          <w:sz w:val="24"/>
          <w:szCs w:val="24"/>
        </w:rPr>
        <w:t>SYSJ2-2-</w:t>
      </w:r>
      <w:r>
        <w:rPr>
          <w:rFonts w:hint="eastAsia" w:ascii="宋体" w:hAnsi="宋体" w:cs="宋体"/>
          <w:color w:val="auto"/>
          <w:sz w:val="24"/>
          <w:szCs w:val="24"/>
        </w:rPr>
        <w:t>2、</w:t>
      </w:r>
      <w:r>
        <w:rPr>
          <w:rFonts w:ascii="宋体" w:hAnsi="宋体" w:cs="宋体"/>
          <w:color w:val="auto"/>
          <w:sz w:val="24"/>
          <w:szCs w:val="24"/>
        </w:rPr>
        <w:t>SYSJ2-2-</w:t>
      </w:r>
      <w:r>
        <w:rPr>
          <w:rFonts w:hint="eastAsia" w:ascii="宋体" w:hAnsi="宋体" w:cs="宋体"/>
          <w:color w:val="auto"/>
          <w:sz w:val="24"/>
          <w:szCs w:val="24"/>
        </w:rPr>
        <w:t>4</w:t>
      </w:r>
      <w:r>
        <w:rPr>
          <w:rFonts w:hint="eastAsia" w:ascii="宋体" w:hAnsi="宋体" w:cs="仿宋_GB2312"/>
          <w:color w:val="auto"/>
          <w:sz w:val="24"/>
          <w:szCs w:val="24"/>
        </w:rPr>
        <w:t>主要包括以下情形：</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837" w:firstLineChars="349"/>
        <w:jc w:val="both"/>
        <w:textAlignment w:val="auto"/>
        <w:outlineLvl w:val="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1</w:t>
      </w:r>
      <w:r>
        <w:rPr>
          <w:rFonts w:hint="eastAsia" w:ascii="宋体" w:hAnsi="宋体" w:cs="仿宋_GB2312"/>
          <w:color w:val="auto"/>
          <w:sz w:val="24"/>
          <w:szCs w:val="24"/>
        </w:rPr>
        <w:t>）配备的项目负责人或专业负责人低于投标承诺的条件（包括职称、业绩、资历等）；</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837" w:firstLineChars="349"/>
        <w:jc w:val="both"/>
        <w:textAlignment w:val="auto"/>
        <w:outlineLvl w:val="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2</w:t>
      </w:r>
      <w:r>
        <w:rPr>
          <w:rFonts w:hint="eastAsia" w:ascii="宋体" w:hAnsi="宋体" w:cs="仿宋_GB2312"/>
          <w:color w:val="auto"/>
          <w:sz w:val="24"/>
          <w:szCs w:val="24"/>
        </w:rPr>
        <w:t>）配备的项目负责人或专业负责人不低于投标承诺的条件，但未经项目法人同意进行更换；</w:t>
      </w:r>
    </w:p>
    <w:p>
      <w:pPr>
        <w:keepNext w:val="0"/>
        <w:keepLines w:val="0"/>
        <w:pageBreakBefore w:val="0"/>
        <w:widowControl w:val="0"/>
        <w:kinsoku/>
        <w:wordWrap/>
        <w:overflowPunct/>
        <w:topLinePunct w:val="0"/>
        <w:autoSpaceDE/>
        <w:autoSpaceDN/>
        <w:bidi w:val="0"/>
        <w:adjustRightInd w:val="0"/>
        <w:snapToGrid w:val="0"/>
        <w:spacing w:line="360" w:lineRule="atLeast"/>
        <w:ind w:left="826" w:leftChars="258" w:right="0" w:rightChars="0"/>
        <w:jc w:val="both"/>
        <w:textAlignment w:val="auto"/>
        <w:outlineLvl w:val="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3</w:t>
      </w:r>
      <w:r>
        <w:rPr>
          <w:rFonts w:hint="eastAsia" w:ascii="宋体" w:hAnsi="宋体" w:cs="仿宋_GB2312"/>
          <w:color w:val="auto"/>
          <w:sz w:val="24"/>
          <w:szCs w:val="24"/>
        </w:rPr>
        <w:t>）配备的项目负责人或专业负责人不低于投标承诺的条件，虽经过项目法人同意进行更换，但同一岗位更换人次数达到两次以上，从第二次变更开始扣分。</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420"/>
        <w:jc w:val="both"/>
        <w:textAlignment w:val="auto"/>
        <w:outlineLvl w:val="9"/>
        <w:rPr>
          <w:rFonts w:ascii="宋体" w:eastAsia="宋体" w:cs="宋体"/>
          <w:color w:val="auto"/>
          <w:sz w:val="24"/>
          <w:szCs w:val="24"/>
        </w:rPr>
      </w:pPr>
      <w:r>
        <w:rPr>
          <w:rFonts w:ascii="宋体" w:hAnsi="宋体" w:cs="宋体"/>
          <w:color w:val="auto"/>
          <w:sz w:val="24"/>
          <w:szCs w:val="24"/>
        </w:rPr>
        <w:t>4.SYSJ2-</w:t>
      </w:r>
      <w:r>
        <w:rPr>
          <w:rFonts w:hint="eastAsia" w:ascii="宋体" w:hAnsi="宋体" w:cs="宋体"/>
          <w:color w:val="auto"/>
          <w:sz w:val="24"/>
          <w:szCs w:val="24"/>
        </w:rPr>
        <w:t>5</w:t>
      </w:r>
      <w:r>
        <w:rPr>
          <w:rFonts w:ascii="宋体" w:hAnsi="宋体" w:cs="宋体"/>
          <w:color w:val="auto"/>
          <w:sz w:val="24"/>
          <w:szCs w:val="24"/>
        </w:rPr>
        <w:t>-2</w:t>
      </w:r>
      <w:r>
        <w:rPr>
          <w:rFonts w:hint="eastAsia" w:ascii="宋体" w:hAnsi="宋体" w:cs="仿宋_GB2312"/>
          <w:color w:val="auto"/>
          <w:sz w:val="24"/>
          <w:szCs w:val="24"/>
        </w:rPr>
        <w:t>应依据有关部门的事故调查处理结果认定。环境污染事故的等级划分标准执行《突发环境事件信息报告办法》（环境保护部</w:t>
      </w:r>
      <w:r>
        <w:rPr>
          <w:rFonts w:ascii="宋体" w:hAnsi="宋体" w:cs="宋体"/>
          <w:color w:val="auto"/>
          <w:sz w:val="24"/>
          <w:szCs w:val="24"/>
        </w:rPr>
        <w:t>2011</w:t>
      </w:r>
      <w:r>
        <w:rPr>
          <w:rFonts w:hint="eastAsia" w:ascii="宋体" w:hAnsi="宋体" w:cs="仿宋_GB2312"/>
          <w:color w:val="auto"/>
          <w:sz w:val="24"/>
          <w:szCs w:val="24"/>
        </w:rPr>
        <w:t>年第</w:t>
      </w:r>
      <w:r>
        <w:rPr>
          <w:rFonts w:ascii="宋体" w:hAnsi="宋体" w:cs="宋体"/>
          <w:color w:val="auto"/>
          <w:sz w:val="24"/>
          <w:szCs w:val="24"/>
        </w:rPr>
        <w:t>17</w:t>
      </w:r>
      <w:r>
        <w:rPr>
          <w:rFonts w:hint="eastAsia" w:ascii="宋体" w:hAnsi="宋体" w:cs="仿宋_GB2312"/>
          <w:color w:val="auto"/>
          <w:sz w:val="24"/>
          <w:szCs w:val="24"/>
        </w:rPr>
        <w:t>号令）。</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420"/>
        <w:jc w:val="both"/>
        <w:textAlignment w:val="auto"/>
        <w:outlineLvl w:val="9"/>
        <w:rPr>
          <w:rFonts w:ascii="宋体" w:eastAsia="宋体" w:cs="宋体"/>
          <w:color w:val="auto"/>
          <w:sz w:val="24"/>
          <w:szCs w:val="24"/>
        </w:rPr>
      </w:pPr>
      <w:r>
        <w:rPr>
          <w:rFonts w:ascii="宋体" w:hAnsi="宋体" w:cs="宋体"/>
          <w:color w:val="auto"/>
          <w:sz w:val="24"/>
          <w:szCs w:val="24"/>
        </w:rPr>
        <w:t>5.SYSJ3-1-1</w:t>
      </w:r>
      <w:r>
        <w:rPr>
          <w:rFonts w:hint="eastAsia" w:ascii="宋体" w:hAnsi="宋体" w:cs="仿宋_GB2312"/>
          <w:color w:val="auto"/>
          <w:sz w:val="24"/>
          <w:szCs w:val="24"/>
        </w:rPr>
        <w:t>是指在项目所在省份从事水运工程设计活动中发生的单位行贿、受贿行为。</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420"/>
        <w:jc w:val="both"/>
        <w:textAlignment w:val="auto"/>
        <w:outlineLvl w:val="9"/>
        <w:rPr>
          <w:rFonts w:ascii="宋体" w:eastAsia="宋体" w:cs="宋体"/>
          <w:color w:val="auto"/>
          <w:sz w:val="24"/>
          <w:szCs w:val="24"/>
        </w:rPr>
      </w:pPr>
      <w:r>
        <w:rPr>
          <w:rFonts w:ascii="宋体" w:hAnsi="宋体" w:cs="宋体"/>
          <w:color w:val="auto"/>
          <w:sz w:val="24"/>
          <w:szCs w:val="24"/>
        </w:rPr>
        <w:t>6. SYSJ3-2-4</w:t>
      </w:r>
      <w:r>
        <w:rPr>
          <w:rFonts w:hint="eastAsia" w:ascii="宋体" w:hAnsi="宋体" w:cs="仿宋_GB2312"/>
          <w:color w:val="auto"/>
          <w:sz w:val="24"/>
          <w:szCs w:val="24"/>
        </w:rPr>
        <w:t>、</w:t>
      </w:r>
      <w:r>
        <w:rPr>
          <w:rFonts w:ascii="宋体" w:hAnsi="宋体" w:cs="宋体"/>
          <w:color w:val="auto"/>
          <w:sz w:val="24"/>
          <w:szCs w:val="24"/>
        </w:rPr>
        <w:t>SYSJ3-2-5</w:t>
      </w:r>
      <w:r>
        <w:rPr>
          <w:rFonts w:hint="eastAsia" w:ascii="宋体" w:hAnsi="宋体" w:cs="仿宋_GB2312"/>
          <w:color w:val="auto"/>
          <w:sz w:val="24"/>
          <w:szCs w:val="24"/>
        </w:rPr>
        <w:t>当被省级（市级）以上交通运输主管部门或部属单位通报批评，涉及到标准中的具体失信行为时，不重复扣分，按“就高不就低”原则执行。</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firstLine="420"/>
        <w:jc w:val="both"/>
        <w:textAlignment w:val="auto"/>
        <w:outlineLvl w:val="9"/>
        <w:rPr>
          <w:rFonts w:ascii="宋体" w:eastAsia="宋体" w:cs="宋体"/>
          <w:color w:val="auto"/>
          <w:sz w:val="24"/>
          <w:szCs w:val="24"/>
        </w:rPr>
      </w:pPr>
      <w:r>
        <w:rPr>
          <w:rFonts w:ascii="宋体" w:hAnsi="宋体" w:cs="宋体"/>
          <w:color w:val="auto"/>
          <w:sz w:val="24"/>
          <w:szCs w:val="24"/>
        </w:rPr>
        <w:t xml:space="preserve">7. </w:t>
      </w:r>
      <w:r>
        <w:rPr>
          <w:rFonts w:hint="eastAsia" w:ascii="宋体" w:hAnsi="宋体" w:cs="仿宋_GB2312"/>
          <w:color w:val="auto"/>
          <w:sz w:val="24"/>
          <w:szCs w:val="24"/>
        </w:rPr>
        <w:t>扣分</w:t>
      </w:r>
      <w:r>
        <w:rPr>
          <w:rFonts w:ascii="宋体" w:hAnsi="宋体" w:cs="宋体"/>
          <w:color w:val="auto"/>
          <w:sz w:val="24"/>
          <w:szCs w:val="24"/>
        </w:rPr>
        <w:t xml:space="preserve"> </w:t>
      </w:r>
      <w:r>
        <w:rPr>
          <w:rFonts w:hint="eastAsia" w:ascii="宋体" w:hAnsi="宋体" w:cs="仿宋_GB2312"/>
          <w:color w:val="auto"/>
          <w:sz w:val="24"/>
          <w:szCs w:val="24"/>
        </w:rPr>
        <w:t>“次”是指在评价期内发现的企业失信行为次数。企业失信行为能够整改的，整改期内不重复扣分，整改期满后，未整改或再次发生同一失信行为，可再次扣分；无法整改的，同一事件不重复扣分。</w:t>
      </w:r>
    </w:p>
    <w:p>
      <w:pPr>
        <w:keepNext w:val="0"/>
        <w:keepLines w:val="0"/>
        <w:pageBreakBefore w:val="0"/>
        <w:widowControl w:val="0"/>
        <w:kinsoku/>
        <w:wordWrap/>
        <w:overflowPunct/>
        <w:topLinePunct w:val="0"/>
        <w:autoSpaceDE/>
        <w:autoSpaceDN/>
        <w:bidi w:val="0"/>
        <w:adjustRightInd w:val="0"/>
        <w:snapToGrid w:val="0"/>
        <w:spacing w:line="360" w:lineRule="atLeast"/>
        <w:ind w:right="0" w:rightChars="0"/>
        <w:jc w:val="both"/>
        <w:textAlignment w:val="auto"/>
        <w:outlineLvl w:val="9"/>
        <w:rPr>
          <w:color w:val="auto"/>
          <w:szCs w:val="32"/>
        </w:rPr>
        <w:sectPr>
          <w:pgSz w:w="16838" w:h="11906" w:orient="landscape"/>
          <w:pgMar w:top="607" w:right="720" w:bottom="607" w:left="720" w:header="851" w:footer="992" w:gutter="0"/>
          <w:pgNumType w:fmt="decimal"/>
          <w:cols w:space="720" w:num="1"/>
          <w:rtlGutter w:val="0"/>
          <w:docGrid w:type="lines" w:linePitch="312" w:charSpace="0"/>
        </w:sectPr>
      </w:pPr>
    </w:p>
    <w:p>
      <w:pPr>
        <w:tabs>
          <w:tab w:val="left" w:pos="13230"/>
        </w:tabs>
        <w:ind w:firstLine="568"/>
        <w:rPr>
          <w:rFonts w:hint="eastAsia" w:ascii="宋体" w:hAnsi="宋体" w:cs="仿宋_GB2312"/>
          <w:b/>
          <w:bCs/>
          <w:color w:val="auto"/>
          <w:kern w:val="0"/>
          <w:szCs w:val="32"/>
        </w:rPr>
      </w:pPr>
    </w:p>
    <w:p>
      <w:pPr>
        <w:tabs>
          <w:tab w:val="left" w:pos="13230"/>
        </w:tabs>
        <w:ind w:firstLine="568"/>
        <w:jc w:val="center"/>
        <w:rPr>
          <w:rFonts w:ascii="宋体" w:eastAsia="宋体" w:cs="宋体"/>
          <w:b/>
          <w:bCs/>
          <w:color w:val="auto"/>
          <w:kern w:val="0"/>
          <w:szCs w:val="32"/>
        </w:rPr>
      </w:pPr>
      <w:r>
        <w:rPr>
          <w:rFonts w:hint="eastAsia" w:ascii="宋体" w:hAnsi="宋体" w:cs="仿宋_GB2312"/>
          <w:b/>
          <w:bCs/>
          <w:color w:val="auto"/>
          <w:kern w:val="0"/>
          <w:szCs w:val="32"/>
        </w:rPr>
        <w:t>广东省水运工程施工企业信用行为评定标准（投标行为）</w:t>
      </w:r>
    </w:p>
    <w:tbl>
      <w:tblPr>
        <w:tblStyle w:val="6"/>
        <w:tblW w:w="1411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708"/>
        <w:gridCol w:w="1560"/>
        <w:gridCol w:w="8363"/>
        <w:gridCol w:w="2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11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26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83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350" w:type="dxa"/>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投标行为</w:t>
            </w:r>
          </w:p>
          <w:p>
            <w:pPr>
              <w:ind w:left="-221" w:leftChars="-69" w:right="-163" w:rightChars="-51"/>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w:t>
            </w:r>
          </w:p>
          <w:p>
            <w:pPr>
              <w:ind w:left="-221" w:leftChars="-69" w:right="-163" w:rightChars="-51"/>
              <w:jc w:val="center"/>
              <w:rPr>
                <w:rFonts w:hint="eastAsia" w:ascii="仿宋" w:hAnsi="仿宋" w:eastAsia="仿宋" w:cs="仿宋"/>
                <w:color w:val="auto"/>
                <w:sz w:val="18"/>
                <w:szCs w:val="18"/>
              </w:rPr>
            </w:pPr>
            <w:r>
              <w:rPr>
                <w:rFonts w:hint="eastAsia" w:ascii="仿宋" w:hAnsi="仿宋" w:eastAsia="仿宋" w:cs="仿宋"/>
                <w:color w:val="auto"/>
                <w:sz w:val="18"/>
                <w:szCs w:val="18"/>
              </w:rPr>
              <w:t>扣完为止）</w:t>
            </w:r>
          </w:p>
        </w:tc>
        <w:tc>
          <w:tcPr>
            <w:tcW w:w="70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严重失信行为</w:t>
            </w: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SYSG1-1-1</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涂改、伪造、出借、转让资质证书</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SYSG1-1-2</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以他人名义投标或者以其他方式弄虚作假，骗取中标</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SYSG1-1-3</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超越本单位资质等级承揽工程</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SYSG1-1-4</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投标人之间相互串通投标</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SYSG1-1-5</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向招标人或者评标委员会成员行贿谋取中标</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SYSG1-1-6</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法律、法规规定的其他违法情形</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SYSG1-1-7</w:t>
            </w:r>
          </w:p>
        </w:tc>
        <w:tc>
          <w:tcPr>
            <w:tcW w:w="8363" w:type="dxa"/>
            <w:tcBorders>
              <w:top w:val="single" w:color="auto" w:sz="4" w:space="0"/>
              <w:left w:val="single" w:color="auto" w:sz="4" w:space="0"/>
              <w:bottom w:val="single" w:color="auto" w:sz="4" w:space="0"/>
              <w:right w:val="single" w:color="auto" w:sz="4" w:space="0"/>
            </w:tcBorders>
            <w:vAlign w:val="bottom"/>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因违反法律、法规、规章被禁止投标后，在禁止期内仍参与投标</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D级延期半年/次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SYSG1-1-8</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因其他情形被广东省交通运输厅通报批评并取消在广东省交通建设市场投标资格</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一般失信行为</w:t>
            </w: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SYSG1-2-1</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资格预审申请文件或投标文件存在严重造假行为，事实认定清楚</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SYSG1-2-2</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中标后无正当理由放弃中标;或</w:t>
            </w:r>
            <w:r>
              <w:rPr>
                <w:rFonts w:hint="eastAsia" w:ascii="仿宋" w:hAnsi="仿宋" w:eastAsia="仿宋" w:cs="仿宋"/>
                <w:color w:val="auto"/>
                <w:kern w:val="0"/>
                <w:sz w:val="18"/>
                <w:szCs w:val="18"/>
              </w:rPr>
              <w:t>中标人拒不按照招标文件要求提交履约保证金</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SYSG1-2-3</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捏造事实、伪造材料或者以非法手段取得证明材料，进行虚假、恶意投诉</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SYSG1-2-4</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未按时确认补遗书等招标人发出的通知</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SYSG1-2-5</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无正当理由未在规定时间内签订合同(非投标企业原因除外)</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SYSG1-2-6</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对同一合同段递交2份及以上资格预审申请文件或投标文件</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SYSG1-2-7</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非招标人或招标文件原因放弃投标，未提前书面告知招标人</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SYSG1-2-8</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不及时反馈评标澄清</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SYSG1-2-9</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有明显差错导致废标，包括如下行为：投标书未签字、盖章；修改“投标书附录表”数据，如工期的要求；无法定代表人证明书</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SYSG1-2-10</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投标文件中信用等级承诺书填写错误、不准确</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13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56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SYSG1-2-11</w:t>
            </w:r>
          </w:p>
        </w:tc>
        <w:tc>
          <w:tcPr>
            <w:tcW w:w="8363"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235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1～3分/次</w:t>
            </w:r>
          </w:p>
        </w:tc>
      </w:tr>
    </w:tbl>
    <w:p>
      <w:pPr>
        <w:tabs>
          <w:tab w:val="left" w:pos="1526"/>
          <w:tab w:val="left" w:pos="2617"/>
          <w:tab w:val="left" w:pos="4102"/>
          <w:tab w:val="left" w:pos="11053"/>
        </w:tabs>
        <w:ind w:left="288"/>
        <w:jc w:val="center"/>
        <w:rPr>
          <w:rFonts w:ascii="宋体" w:eastAsia="宋体" w:cs="宋体"/>
          <w:b/>
          <w:bCs/>
          <w:color w:val="auto"/>
          <w:kern w:val="0"/>
          <w:szCs w:val="32"/>
        </w:rPr>
      </w:pPr>
      <w:r>
        <w:rPr>
          <w:rFonts w:hint="eastAsia" w:ascii="宋体" w:hAnsi="宋体" w:cs="仿宋_GB2312"/>
          <w:b/>
          <w:bCs/>
          <w:color w:val="auto"/>
          <w:kern w:val="0"/>
          <w:szCs w:val="32"/>
        </w:rPr>
        <w:t>广东省水运工程施工企业信用行为评定标准（履约行为）</w:t>
      </w:r>
    </w:p>
    <w:tbl>
      <w:tblPr>
        <w:tblStyle w:val="6"/>
        <w:tblW w:w="1459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995"/>
        <w:gridCol w:w="1276"/>
        <w:gridCol w:w="9214"/>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113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271"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921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1982" w:type="dxa"/>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restart"/>
            <w:tcBorders>
              <w:top w:val="single" w:color="auto" w:sz="4" w:space="0"/>
              <w:left w:val="single" w:color="auto" w:sz="4" w:space="0"/>
              <w:bottom w:val="single" w:color="auto" w:sz="4" w:space="0"/>
              <w:right w:val="single" w:color="auto" w:sz="4" w:space="0"/>
            </w:tcBorders>
            <w:vAlign w:val="center"/>
          </w:tcPr>
          <w:p>
            <w:pPr>
              <w:ind w:left="-5" w:leftChars="-2" w:hanging="1" w:hangingChars="1"/>
              <w:jc w:val="center"/>
              <w:rPr>
                <w:rFonts w:hint="eastAsia" w:ascii="仿宋" w:hAnsi="仿宋" w:eastAsia="仿宋" w:cs="仿宋"/>
                <w:color w:val="auto"/>
                <w:sz w:val="18"/>
                <w:szCs w:val="18"/>
              </w:rPr>
            </w:pPr>
          </w:p>
          <w:p>
            <w:pPr>
              <w:ind w:left="-5" w:leftChars="-2" w:hanging="1" w:hangingChars="1"/>
              <w:jc w:val="center"/>
              <w:rPr>
                <w:rFonts w:hint="eastAsia" w:ascii="仿宋" w:hAnsi="仿宋" w:eastAsia="仿宋" w:cs="仿宋"/>
                <w:color w:val="auto"/>
                <w:sz w:val="18"/>
                <w:szCs w:val="18"/>
              </w:rPr>
            </w:pPr>
          </w:p>
          <w:p>
            <w:pPr>
              <w:ind w:left="-5" w:leftChars="-2" w:hanging="1" w:hangingChars="1"/>
              <w:jc w:val="center"/>
              <w:rPr>
                <w:rFonts w:hint="eastAsia" w:ascii="仿宋" w:hAnsi="仿宋" w:eastAsia="仿宋" w:cs="仿宋"/>
                <w:color w:val="auto"/>
                <w:sz w:val="18"/>
                <w:szCs w:val="18"/>
              </w:rPr>
            </w:pPr>
          </w:p>
          <w:p>
            <w:pPr>
              <w:ind w:left="-5" w:leftChars="-2" w:hanging="1" w:hangingChars="1"/>
              <w:jc w:val="center"/>
              <w:rPr>
                <w:rFonts w:hint="eastAsia" w:ascii="仿宋" w:hAnsi="仿宋" w:eastAsia="仿宋" w:cs="仿宋"/>
                <w:color w:val="auto"/>
                <w:sz w:val="18"/>
                <w:szCs w:val="18"/>
              </w:rPr>
            </w:pPr>
          </w:p>
          <w:p>
            <w:pPr>
              <w:ind w:left="-5" w:leftChars="-2" w:hanging="1" w:hangingChars="1"/>
              <w:jc w:val="center"/>
              <w:rPr>
                <w:rFonts w:hint="eastAsia" w:ascii="仿宋" w:hAnsi="仿宋" w:eastAsia="仿宋" w:cs="仿宋"/>
                <w:color w:val="auto"/>
                <w:sz w:val="18"/>
                <w:szCs w:val="18"/>
              </w:rPr>
            </w:pPr>
          </w:p>
          <w:p>
            <w:pPr>
              <w:ind w:left="-5" w:leftChars="-2" w:hanging="1" w:hangingChars="1"/>
              <w:jc w:val="center"/>
              <w:rPr>
                <w:rFonts w:hint="eastAsia" w:ascii="仿宋" w:hAnsi="仿宋" w:eastAsia="仿宋" w:cs="仿宋"/>
                <w:color w:val="auto"/>
                <w:sz w:val="18"/>
                <w:szCs w:val="18"/>
              </w:rPr>
            </w:pPr>
          </w:p>
          <w:p>
            <w:pPr>
              <w:ind w:left="-5" w:leftChars="-2" w:hanging="1" w:hangingChars="1"/>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ind w:left="-97" w:leftChars="-69" w:right="-163" w:rightChars="-51" w:hanging="124" w:hangingChars="69"/>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w:t>
            </w:r>
          </w:p>
          <w:p>
            <w:pPr>
              <w:ind w:left="-97" w:leftChars="-69" w:right="-163" w:rightChars="-51" w:hanging="124" w:hangingChars="69"/>
              <w:jc w:val="center"/>
              <w:rPr>
                <w:rFonts w:hint="eastAsia" w:ascii="仿宋" w:hAnsi="仿宋" w:eastAsia="仿宋" w:cs="仿宋"/>
                <w:color w:val="auto"/>
                <w:sz w:val="18"/>
                <w:szCs w:val="18"/>
              </w:rPr>
            </w:pPr>
            <w:r>
              <w:rPr>
                <w:rFonts w:hint="eastAsia" w:ascii="仿宋" w:hAnsi="仿宋" w:eastAsia="仿宋" w:cs="仿宋"/>
                <w:color w:val="auto"/>
                <w:sz w:val="18"/>
                <w:szCs w:val="18"/>
              </w:rPr>
              <w:t>扣完为止）</w:t>
            </w:r>
          </w:p>
        </w:tc>
        <w:tc>
          <w:tcPr>
            <w:tcW w:w="99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严重失信行为</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SYSG2-1-1</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向他人转让中标项目，或将中标项目肢解后分别向他人转让项目；或将承包的工程转包</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SYSG2-1-2</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发生重大质量事故（二级以上）或重大以上等级安全生产责任事故</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SYSG2-1-3</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发生重大质量事故或较大以上等级安全生产责任事故隐瞒不报、谎报或拖延报告期限</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SYSG2-1-4</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经交通运输主管部门或质监机构鉴定合同段工程质量不合格,或施工管理综合评价为差</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人员设备到位情况</w:t>
            </w:r>
          </w:p>
          <w:p>
            <w:pPr>
              <w:ind w:left="-14" w:leftChars="-32" w:right="-163" w:rightChars="-51" w:hanging="88" w:hangingChars="49"/>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（满分5分，扣完为止）</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SYSG2-2-1</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项目经理、技术负责人未按投标承诺的条件配备或未经项目法人批准擅自更换</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SYSG2-2-2</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pacing w:val="-4"/>
                <w:sz w:val="18"/>
                <w:szCs w:val="18"/>
              </w:rPr>
              <w:t>关键施工机械、设备以及</w:t>
            </w:r>
            <w:r>
              <w:rPr>
                <w:rFonts w:hint="eastAsia" w:ascii="仿宋" w:hAnsi="仿宋" w:eastAsia="仿宋" w:cs="仿宋"/>
                <w:color w:val="auto"/>
                <w:kern w:val="0"/>
                <w:sz w:val="18"/>
                <w:szCs w:val="18"/>
              </w:rPr>
              <w:t>测量、试验检测仪器设备等</w:t>
            </w:r>
            <w:r>
              <w:rPr>
                <w:rFonts w:hint="eastAsia" w:ascii="仿宋" w:hAnsi="仿宋" w:eastAsia="仿宋" w:cs="仿宋"/>
                <w:color w:val="auto"/>
                <w:spacing w:val="-4"/>
                <w:sz w:val="18"/>
                <w:szCs w:val="18"/>
              </w:rPr>
              <w:t>未按投标承诺或工程需要到位，影响工程施工</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1分/台（艘）次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SYSG2-2-3</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pacing w:val="-4"/>
                <w:sz w:val="18"/>
                <w:szCs w:val="18"/>
              </w:rPr>
            </w:pPr>
            <w:r>
              <w:rPr>
                <w:rFonts w:hint="eastAsia" w:ascii="仿宋" w:hAnsi="仿宋" w:eastAsia="仿宋" w:cs="仿宋"/>
                <w:color w:val="auto"/>
                <w:kern w:val="0"/>
                <w:sz w:val="18"/>
                <w:szCs w:val="18"/>
              </w:rPr>
              <w:t>项目经理、技术负责人在施工期间不低于原投标承诺资格更换</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0.5分/人次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SYSG2-2-4</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pacing w:val="-4"/>
                <w:sz w:val="18"/>
                <w:szCs w:val="18"/>
              </w:rPr>
            </w:pPr>
            <w:r>
              <w:rPr>
                <w:rFonts w:hint="eastAsia" w:ascii="仿宋" w:hAnsi="仿宋" w:eastAsia="仿宋" w:cs="仿宋"/>
                <w:color w:val="auto"/>
                <w:kern w:val="0"/>
                <w:sz w:val="18"/>
                <w:szCs w:val="18"/>
              </w:rPr>
              <w:t>注册执业人员未按投标承诺到位,或无正当理由更换。</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0.4分/人次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SYSG2-2-5</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安全管理人员、特种设备操作人员及特殊岗位未按要求持证上岗。</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0.2分/人次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SYSG2-2-6</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未按规定签订劳务用工合同。</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0.5分/人次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质量进度与费用管理(满分40分，扣完为止）</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将承包工程违法分包</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10分/次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由于施工企业原因导致合同终止</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10分/次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SYSG2-3-3</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未按照</w:t>
            </w:r>
            <w:r>
              <w:rPr>
                <w:rFonts w:hint="eastAsia" w:ascii="仿宋" w:hAnsi="仿宋" w:eastAsia="仿宋" w:cs="仿宋"/>
                <w:color w:val="auto"/>
                <w:kern w:val="0"/>
                <w:sz w:val="18"/>
                <w:szCs w:val="18"/>
              </w:rPr>
              <w:t>施工技术标准、规范等</w:t>
            </w:r>
            <w:r>
              <w:rPr>
                <w:rFonts w:hint="eastAsia" w:ascii="仿宋" w:hAnsi="仿宋" w:eastAsia="仿宋" w:cs="仿宋"/>
                <w:color w:val="auto"/>
                <w:sz w:val="18"/>
                <w:szCs w:val="18"/>
              </w:rPr>
              <w:t>强制性标准进行施工</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SYSG2-3-4</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 xml:space="preserve">因施工原因发生重大设计变更导致工程建设费用增加或工期延误较多 </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SYSG2-3-5</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使用未经检验或检验不合格的建筑材料、建筑构配件和设备；或</w:t>
            </w:r>
            <w:r>
              <w:rPr>
                <w:rFonts w:hint="eastAsia" w:ascii="仿宋" w:hAnsi="仿宋" w:eastAsia="仿宋" w:cs="仿宋"/>
                <w:color w:val="auto"/>
                <w:kern w:val="0"/>
                <w:sz w:val="18"/>
                <w:szCs w:val="18"/>
              </w:rPr>
              <w:t>未对建筑材料、建筑构配件、设备和商品混凝土进行检验，或者未对涉及结构安全的试块、试件以及有关材料取样检测直接使用。</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SYSG2-3-6</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施工过程中偷工减料</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ind w:left="360" w:hanging="360" w:hangingChars="200"/>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SYSG2-3-7</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发生重大（二级）以下、一般以上质量事故</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ind w:left="360" w:hanging="360" w:hangingChars="200"/>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SYSG2-3-8</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不按照设计图纸施工或施工方案未经审查批准擅自开工</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SYSG2-3-9</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发生质量问题或严重质量缺陷；</w:t>
            </w:r>
            <w:r>
              <w:rPr>
                <w:rFonts w:hint="eastAsia" w:ascii="仿宋" w:hAnsi="仿宋" w:eastAsia="仿宋" w:cs="仿宋"/>
                <w:color w:val="auto"/>
                <w:kern w:val="0"/>
                <w:sz w:val="18"/>
                <w:szCs w:val="18"/>
              </w:rPr>
              <w:t>出现质量问题经整改仍达不到要求的；质量通病问题反复出现的</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SYSG2-3-10</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工程变更中存在弄虚作假</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SYSG2-3-11</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内业资料或</w:t>
            </w:r>
            <w:r>
              <w:rPr>
                <w:rFonts w:hint="eastAsia" w:ascii="仿宋" w:hAnsi="仿宋" w:eastAsia="仿宋" w:cs="仿宋"/>
                <w:color w:val="auto"/>
                <w:kern w:val="0"/>
                <w:sz w:val="18"/>
                <w:szCs w:val="18"/>
              </w:rPr>
              <w:t>试验检测数据</w:t>
            </w:r>
            <w:r>
              <w:rPr>
                <w:rFonts w:hint="eastAsia" w:ascii="仿宋" w:hAnsi="仿宋" w:eastAsia="仿宋" w:cs="仿宋"/>
                <w:color w:val="auto"/>
                <w:sz w:val="18"/>
                <w:szCs w:val="18"/>
              </w:rPr>
              <w:t>造假；</w:t>
            </w:r>
            <w:r>
              <w:rPr>
                <w:rFonts w:hint="eastAsia" w:ascii="仿宋" w:hAnsi="仿宋" w:eastAsia="仿宋" w:cs="仿宋"/>
                <w:color w:val="auto"/>
                <w:kern w:val="0"/>
                <w:sz w:val="18"/>
                <w:szCs w:val="18"/>
              </w:rPr>
              <w:t>内业资料不全或不规范、不真实；施工档案资料归档不规范或不及时</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SYSG2-3-12</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因施工原因造成工程进度滞后于计划工期或合同工期</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SYSG2-3-13</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不履行保修义务或者拖延履行保修义务</w:t>
            </w:r>
          </w:p>
        </w:tc>
        <w:tc>
          <w:tcPr>
            <w:tcW w:w="198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w:t>
            </w:r>
          </w:p>
        </w:tc>
      </w:tr>
    </w:tbl>
    <w:p>
      <w:pPr>
        <w:tabs>
          <w:tab w:val="left" w:pos="846"/>
          <w:tab w:val="left" w:pos="1841"/>
          <w:tab w:val="left" w:pos="3117"/>
          <w:tab w:val="left" w:pos="12331"/>
        </w:tabs>
        <w:ind w:left="-285"/>
        <w:jc w:val="center"/>
        <w:rPr>
          <w:rFonts w:ascii="仿宋_GB2312" w:hAnsi="仿宋"/>
          <w:color w:val="auto"/>
          <w:sz w:val="18"/>
          <w:szCs w:val="18"/>
        </w:rPr>
      </w:pPr>
      <w:r>
        <w:rPr>
          <w:rFonts w:hint="eastAsia" w:ascii="宋体" w:hAnsi="宋体" w:cs="仿宋_GB2312"/>
          <w:b/>
          <w:bCs/>
          <w:color w:val="auto"/>
          <w:kern w:val="0"/>
          <w:szCs w:val="32"/>
        </w:rPr>
        <w:t>广东省水运工程施工企业信用行为评定标准（履约行为）</w:t>
      </w:r>
    </w:p>
    <w:tbl>
      <w:tblPr>
        <w:tblStyle w:val="6"/>
        <w:tblW w:w="1449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995"/>
        <w:gridCol w:w="1263"/>
        <w:gridCol w:w="9227"/>
        <w:gridCol w:w="1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jc w:val="center"/>
        </w:trPr>
        <w:tc>
          <w:tcPr>
            <w:tcW w:w="113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258"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922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1879" w:type="dxa"/>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restart"/>
            <w:tcBorders>
              <w:top w:val="single" w:color="auto" w:sz="4" w:space="0"/>
              <w:left w:val="single" w:color="auto" w:sz="4" w:space="0"/>
              <w:right w:val="single" w:color="auto" w:sz="4" w:space="0"/>
            </w:tcBorders>
            <w:vAlign w:val="center"/>
          </w:tcPr>
          <w:p>
            <w:pPr>
              <w:ind w:left="-5" w:leftChars="-2" w:hanging="1" w:hangingChars="1"/>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995"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质量进度与费用管理(满分40分，扣完为止）</w:t>
            </w: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SYSG2-3-14</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挪用工程款</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SYSG2-3-15</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未按规定配备质量管理人员</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SYSG2-3-16</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拒绝或阻碍依法进行水运建设监督检查工作。</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SYSG2-3-17</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未对职工进行专项教育和培训；安全宣传教育、人员培训工作不到位。</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SYSG2-3-18</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质量保证体系或质量保证措施不健全；特殊季节施工预防措施不健全。</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SYSG2-3-19</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未建立工程质量责任登记制度。</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SYSG2-3-20</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未经监理签认进入下道工序或分项工程；或监理下达停工指令拒不执行；或未经监理签认将建筑材料、建筑构配件和设备在工程上使用或安装。</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SYSG2-3-21</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原材料堆放混乱，对使用质量造成影响（如砂石材料堆放未分界、场地未硬化、未采取防雨防潮措施等）</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SYSG2-3-22</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因施工原因出现质量问题，对工程实体质量影响不大（如水泥混凝土表面蜂窝麻面、砌筑砂浆不饱满、钢筋混凝土保护层不够等）</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SYSG2-3-23</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工程检查中抽测实体质量不合格（指交通主管部门、质监机构组织的监督检查、项目法人组织的正式检查）</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SYSG2-3-24</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施工现场管理混乱;安全警示标志不完善、不醒目</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SYSG2-3-25</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工地试验室不符合要求；超越其母体检测机构授权业务范围开展试验检测工作</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SYSG2-3-26</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原材料、工程实体质量抽检未按规定执行，自检频率不符合要求</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SYSG2-3-27</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未按要求建设标准化工地；未按要求建设预制场地、拌和场地、施工堆料场、施工便道</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SYSG2-3-28</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未达到合同约定的质量标准</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SYSG2-3-29</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不配合业主进行工程验收</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SYSG2-3-30</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财务管理制度不健全；或财务管理混乱，管理台帐不完备</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SYSG2-3-31</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虚假计量</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SYSG2-3-32</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流动资金不能满足工程建设需要</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SYSG2-3-33</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因施工企业原因拖欠工程款、农民工工资、材料款，尚未造成影响</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atLeast"/>
          <w:jc w:val="center"/>
        </w:trPr>
        <w:tc>
          <w:tcPr>
            <w:tcW w:w="1131"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6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SYSG2-3-34</w:t>
            </w:r>
          </w:p>
        </w:tc>
        <w:tc>
          <w:tcPr>
            <w:tcW w:w="9227"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因施工企业原因，未及时上报变更文件、未按规定编制或提交合同结算资料的</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3分/次</w:t>
            </w:r>
          </w:p>
        </w:tc>
      </w:tr>
    </w:tbl>
    <w:p>
      <w:pPr>
        <w:tabs>
          <w:tab w:val="left" w:pos="846"/>
          <w:tab w:val="left" w:pos="1841"/>
          <w:tab w:val="left" w:pos="3117"/>
          <w:tab w:val="left" w:pos="12331"/>
        </w:tabs>
        <w:ind w:left="-285"/>
        <w:jc w:val="center"/>
        <w:rPr>
          <w:rFonts w:ascii="仿宋_GB2312" w:hAnsi="仿宋"/>
          <w:color w:val="auto"/>
          <w:sz w:val="18"/>
          <w:szCs w:val="18"/>
        </w:rPr>
      </w:pPr>
      <w:r>
        <w:rPr>
          <w:rFonts w:hint="eastAsia" w:ascii="宋体" w:hAnsi="宋体" w:cs="仿宋_GB2312"/>
          <w:b/>
          <w:bCs/>
          <w:color w:val="auto"/>
          <w:kern w:val="0"/>
          <w:szCs w:val="32"/>
        </w:rPr>
        <w:t>广东省水运工程施工企业信用行为评定标准（履约行为）</w:t>
      </w:r>
    </w:p>
    <w:tbl>
      <w:tblPr>
        <w:tblStyle w:val="6"/>
        <w:tblW w:w="145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7"/>
        <w:gridCol w:w="850"/>
        <w:gridCol w:w="1276"/>
        <w:gridCol w:w="9639"/>
        <w:gridCol w:w="17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8"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9639" w:type="dxa"/>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z w:val="18"/>
                <w:szCs w:val="18"/>
              </w:rPr>
              <w:t>失信行为</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ind w:left="-5" w:leftChars="-2" w:hanging="1" w:hangingChars="1"/>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85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安全生产(满分20分，</w:t>
            </w:r>
          </w:p>
          <w:p>
            <w:pPr>
              <w:ind w:left="-163" w:leftChars="-51" w:right="-163" w:rightChars="-51" w:firstLine="91" w:firstLineChars="51"/>
              <w:jc w:val="center"/>
              <w:rPr>
                <w:rFonts w:hint="eastAsia" w:ascii="仿宋" w:hAnsi="仿宋" w:eastAsia="仿宋" w:cs="仿宋"/>
                <w:color w:val="auto"/>
                <w:sz w:val="18"/>
                <w:szCs w:val="18"/>
              </w:rPr>
            </w:pPr>
            <w:r>
              <w:rPr>
                <w:rFonts w:hint="eastAsia" w:ascii="仿宋" w:hAnsi="仿宋" w:eastAsia="仿宋" w:cs="仿宋"/>
                <w:color w:val="auto"/>
                <w:sz w:val="18"/>
                <w:szCs w:val="18"/>
              </w:rPr>
              <w:t>扣完为止)</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发生较大安全生产责任事故</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ind w:left="-163" w:leftChars="-51" w:right="-163" w:rightChars="-51" w:firstLine="91" w:firstLineChars="51"/>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发生一般安全生产责任事故</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10分/次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ind w:left="-163" w:leftChars="-51" w:right="-163" w:rightChars="-51" w:firstLine="91" w:firstLineChars="51"/>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施工期间发生工程安全事件，拒绝或消极抢险；或者</w:t>
            </w:r>
            <w:r>
              <w:rPr>
                <w:rFonts w:hint="eastAsia" w:ascii="仿宋" w:hAnsi="仿宋" w:eastAsia="仿宋" w:cs="仿宋"/>
                <w:color w:val="auto"/>
                <w:kern w:val="0"/>
                <w:sz w:val="18"/>
                <w:szCs w:val="18"/>
              </w:rPr>
              <w:t>主要负责人在本单位发生重大生产安全事故时，不立即组织抢救或者在事故调查处理期间擅离职守或者逃匿</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ind w:left="-163" w:leftChars="-51" w:right="-163" w:rightChars="-51" w:firstLine="91" w:firstLineChars="51"/>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SYSG2-4-4</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现场管理混乱，存在重大安全隐患；或</w:t>
            </w:r>
            <w:r>
              <w:rPr>
                <w:rFonts w:hint="eastAsia" w:ascii="仿宋" w:hAnsi="仿宋" w:eastAsia="仿宋" w:cs="仿宋"/>
                <w:color w:val="auto"/>
                <w:kern w:val="0"/>
                <w:sz w:val="18"/>
                <w:szCs w:val="18"/>
              </w:rPr>
              <w:t>多次整改仍然存在安全问题；或对存在重大安全事故隐患但拒绝整改或者整改效果不明显</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ind w:left="-163" w:leftChars="-51" w:right="-163" w:rightChars="-51" w:firstLine="91" w:firstLineChars="51"/>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SYSG2-4-5</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对重大危险源</w:t>
            </w:r>
            <w:r>
              <w:rPr>
                <w:rFonts w:hint="eastAsia" w:ascii="仿宋" w:hAnsi="仿宋" w:eastAsia="仿宋" w:cs="仿宋"/>
                <w:color w:val="auto"/>
                <w:kern w:val="0"/>
                <w:sz w:val="18"/>
                <w:szCs w:val="18"/>
              </w:rPr>
              <w:t>未登记建档；或者未进行评估、</w:t>
            </w:r>
            <w:r>
              <w:rPr>
                <w:rFonts w:hint="eastAsia" w:ascii="仿宋" w:hAnsi="仿宋" w:eastAsia="仿宋" w:cs="仿宋"/>
                <w:color w:val="auto"/>
                <w:sz w:val="18"/>
                <w:szCs w:val="18"/>
              </w:rPr>
              <w:t xml:space="preserve">监控；或者未制定应急预案以及未开展应急预案演练 </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SYSG2-4-6</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不按规定使用安全防护文明施工措施费用；挪用列入建设工程概算的安全生产作业环境及安全施工措施所需费用</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SYSG2-4-7</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未按规定配备安全生产管理人员</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SYSG2-4-8</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pacing w:val="-4"/>
                <w:sz w:val="18"/>
                <w:szCs w:val="18"/>
              </w:rPr>
              <w:t>特种作业人员未持有效证件上岗</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SYSG2-4-9</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特种设备未经检验或检验不合格投入使用；或者</w:t>
            </w:r>
            <w:r>
              <w:rPr>
                <w:rFonts w:hint="eastAsia" w:ascii="仿宋" w:hAnsi="仿宋" w:eastAsia="仿宋" w:cs="仿宋"/>
                <w:color w:val="auto"/>
                <w:kern w:val="0"/>
                <w:sz w:val="18"/>
                <w:szCs w:val="18"/>
              </w:rPr>
              <w:t>投入使用的特种设备未经具有专业资质的机构检测、检验合格，未取得安全使用证或者安全标志</w:t>
            </w:r>
            <w:r>
              <w:rPr>
                <w:rFonts w:hint="eastAsia" w:ascii="仿宋" w:hAnsi="仿宋" w:eastAsia="仿宋" w:cs="仿宋"/>
                <w:color w:val="auto"/>
                <w:sz w:val="18"/>
                <w:szCs w:val="18"/>
              </w:rPr>
              <w:t xml:space="preserve"> </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2分/台次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SYSG2-4-10</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适航证书或入级证书与施工作业区域不符</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1分/艘次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SYSG2-4-11</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因施工企业原因未签订安全生产合同</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SYSG2-4-12</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未建立健全安全生产规章制度、操作规程或安全生产保证体系</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SYSG2-4-13</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项目负责人、专职安全生产管理人员、作业人员或者特种作业人员，未经安全教育培训或考核不合格即从事相关工作</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SYSG2-4-14</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未对职工进行安全生产教育和培训，或者未如实告知有关安全生产事项；安全员安全意识不强，未严格按安全规程操作</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SYSG2-4-15</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未在施工现场的危险部位设置明显的安全警示标志和安全防护，或者未按照国家有关规定在施工现场设置消防通道、消防水源、配备消防设施和灭火器材</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SYSG2-4-16</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未向作业人员提供安全防护用具和安全防护服装</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0.5分/次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SYSG2-4-17</w:t>
            </w:r>
          </w:p>
        </w:tc>
        <w:tc>
          <w:tcPr>
            <w:tcW w:w="963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使用国家明令淘汰、禁止使用的危及生产安全的工艺、设备</w:t>
            </w:r>
          </w:p>
        </w:tc>
        <w:tc>
          <w:tcPr>
            <w:tcW w:w="179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3分/次</w:t>
            </w:r>
          </w:p>
        </w:tc>
      </w:tr>
    </w:tbl>
    <w:p>
      <w:pPr>
        <w:tabs>
          <w:tab w:val="left" w:pos="846"/>
          <w:tab w:val="left" w:pos="1841"/>
          <w:tab w:val="left" w:pos="3117"/>
          <w:tab w:val="left" w:pos="12331"/>
        </w:tabs>
        <w:ind w:left="-285"/>
        <w:jc w:val="center"/>
        <w:rPr>
          <w:rFonts w:ascii="仿宋_GB2312" w:hAnsi="仿宋"/>
          <w:color w:val="auto"/>
          <w:sz w:val="18"/>
          <w:szCs w:val="18"/>
        </w:rPr>
      </w:pPr>
      <w:r>
        <w:rPr>
          <w:rFonts w:ascii="仿宋_GB2312" w:hAnsi="仿宋"/>
          <w:color w:val="auto"/>
          <w:sz w:val="18"/>
          <w:szCs w:val="18"/>
        </w:rPr>
        <w:tab/>
      </w:r>
      <w:r>
        <w:rPr>
          <w:rFonts w:ascii="仿宋_GB2312" w:hAnsi="仿宋"/>
          <w:color w:val="auto"/>
          <w:sz w:val="18"/>
          <w:szCs w:val="18"/>
        </w:rPr>
        <w:tab/>
      </w:r>
      <w:r>
        <w:rPr>
          <w:rFonts w:hint="eastAsia" w:ascii="宋体" w:hAnsi="宋体" w:cs="仿宋_GB2312"/>
          <w:b/>
          <w:bCs/>
          <w:color w:val="auto"/>
          <w:kern w:val="0"/>
          <w:szCs w:val="32"/>
        </w:rPr>
        <w:t>广东省水运工程施工企业信用行为评定标准（履约行为）</w:t>
      </w:r>
    </w:p>
    <w:tbl>
      <w:tblPr>
        <w:tblStyle w:val="6"/>
        <w:tblW w:w="144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995"/>
        <w:gridCol w:w="1276"/>
        <w:gridCol w:w="9214"/>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3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271"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9214" w:type="dxa"/>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z w:val="18"/>
                <w:szCs w:val="18"/>
              </w:rPr>
              <w:t>失信行为</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31" w:type="dxa"/>
            <w:vMerge w:val="restart"/>
            <w:tcBorders>
              <w:top w:val="single" w:color="auto" w:sz="4" w:space="0"/>
              <w:left w:val="single" w:color="auto" w:sz="4" w:space="0"/>
              <w:bottom w:val="single" w:color="auto" w:sz="4" w:space="0"/>
              <w:right w:val="single" w:color="auto" w:sz="4" w:space="0"/>
            </w:tcBorders>
            <w:vAlign w:val="center"/>
          </w:tcPr>
          <w:p>
            <w:pPr>
              <w:ind w:left="-5" w:leftChars="-2" w:hanging="1" w:hangingChars="1"/>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99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安全生产(满分20分，扣完为止)</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SYSG2-4-18</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储存、使用危险物品，未建立专门安全管理制度、未采取可靠的安全措施或者不接受有关主管部门依法实施的监督管理</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SYSG2-4-19</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进行爆破、吊装等危险作业，未安排专门管理人员进行现场安全管理</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SYSG2-4-20</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两个以上单位在同一作业区域内进行可能危及对方安全生产的生产经营活动，因自身原因未签订安全生产管理协议或者未指定专职安全生产管理人员进行安全检查与协调</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SYSG2-4-21</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危险品存放不规范，管理不严格。储存、使用危险物品的车间、仓库与员工宿舍在同一座建筑内，或者与员工宿舍的距离不符合安全要求；施工现场和员工宿舍未设有符合紧急疏散需要、标志明显、保持畅通的出口，或者封闭、堵塞施工现场或者员工宿舍出口</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SYSG2-4-22</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从业人员不服从管理，违反安全生产规章制度或者操作规程</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1"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SYSG2-4-23</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未及时、如实报告生产安全事故</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SYSG2-4-24</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每项工程实施前，未进行安全生产技术交底</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SYSG2-4-25</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未根据不同施工阶段和周围环境及季节、气候的变化，在施工现场采取相应的安全施工措施</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0.5分/次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SYSG2-4-26</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施工现场临时搭建的建筑物不符合安全使用要求</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SYSG2-4-27</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对危险性较大的工程未编制专项施工方案、附安全验算结果、履行审查审批手续等</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SYSG2-4-28</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未对因建设工程施工可能造成损害的毗邻建筑物、构筑物和地下管线等采取专项防护措施</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SYSG2-4-29</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安全防护用具、机械设备、施工机具及配件在进入施工现场前未经查验或者查验不合格即投入使用</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SYSG2-4-30</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委托不具有相应资质的单位承担施工现场安装、拆卸施工起重机械和整体提升脚手架、模板等自升式架设设施</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1"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SYSG2-4-31</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未取得安全生产许可证擅自进行生产，安全生产许可证有效期满未办理延期手续，继续进行生产；逾期仍不办理延期手续，继续进行生产</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7分/次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7"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SYSG2-4-32</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使用伪造的安全生产许可证</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7分/次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SYSG2-4-33</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在沿海水域进行水上水下施工以及划定相应的安全作业区，未报经主管机关核准公告；施工单位擅自扩大安全作业区范围</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0"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SYSG2-4-34</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施工现场防护不到位，存在安全隐患</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1" w:hRule="atLeast"/>
          <w:jc w:val="center"/>
        </w:trPr>
        <w:tc>
          <w:tcPr>
            <w:tcW w:w="1131"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99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SYSG2-4-35</w:t>
            </w:r>
          </w:p>
        </w:tc>
        <w:tc>
          <w:tcPr>
            <w:tcW w:w="921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未编制安全生产应急预案并落实人员、器材，组织演练</w:t>
            </w:r>
          </w:p>
        </w:tc>
        <w:tc>
          <w:tcPr>
            <w:tcW w:w="18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w:t>
            </w:r>
          </w:p>
        </w:tc>
      </w:tr>
    </w:tbl>
    <w:p>
      <w:pPr>
        <w:tabs>
          <w:tab w:val="left" w:pos="846"/>
          <w:tab w:val="left" w:pos="1841"/>
          <w:tab w:val="left" w:pos="3117"/>
          <w:tab w:val="left" w:pos="12331"/>
        </w:tabs>
        <w:ind w:left="-285"/>
        <w:jc w:val="center"/>
        <w:rPr>
          <w:rFonts w:ascii="仿宋_GB2312" w:hAnsi="仿宋"/>
          <w:color w:val="auto"/>
          <w:sz w:val="18"/>
          <w:szCs w:val="18"/>
        </w:rPr>
      </w:pPr>
      <w:r>
        <w:rPr>
          <w:rFonts w:hint="eastAsia" w:ascii="宋体" w:hAnsi="宋体" w:cs="仿宋_GB2312"/>
          <w:b/>
          <w:bCs/>
          <w:color w:val="auto"/>
          <w:kern w:val="0"/>
          <w:szCs w:val="32"/>
        </w:rPr>
        <w:t>广东省水运工程施工企业信用行为评定标准（履约行为）</w:t>
      </w:r>
    </w:p>
    <w:p>
      <w:pPr>
        <w:tabs>
          <w:tab w:val="left" w:pos="846"/>
          <w:tab w:val="left" w:pos="1841"/>
          <w:tab w:val="left" w:pos="3117"/>
          <w:tab w:val="left" w:pos="12331"/>
        </w:tabs>
        <w:ind w:left="-285"/>
        <w:jc w:val="left"/>
        <w:rPr>
          <w:rFonts w:ascii="仿宋_GB2312" w:hAnsi="宋体"/>
          <w:color w:val="auto"/>
          <w:kern w:val="0"/>
          <w:sz w:val="18"/>
          <w:szCs w:val="18"/>
        </w:rPr>
      </w:pPr>
      <w:r>
        <w:rPr>
          <w:rFonts w:ascii="仿宋_GB2312" w:hAnsi="宋体"/>
          <w:color w:val="auto"/>
          <w:kern w:val="0"/>
          <w:sz w:val="18"/>
          <w:szCs w:val="18"/>
        </w:rPr>
        <w:tab/>
      </w:r>
    </w:p>
    <w:tbl>
      <w:tblPr>
        <w:tblStyle w:val="6"/>
        <w:tblW w:w="1425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3"/>
        <w:gridCol w:w="1418"/>
        <w:gridCol w:w="1417"/>
        <w:gridCol w:w="8080"/>
        <w:gridCol w:w="2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2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z w:val="18"/>
                <w:szCs w:val="18"/>
              </w:rPr>
              <w:t>行为代码</w:t>
            </w:r>
          </w:p>
        </w:tc>
        <w:tc>
          <w:tcPr>
            <w:tcW w:w="808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restart"/>
            <w:tcBorders>
              <w:top w:val="single" w:color="auto" w:sz="4" w:space="0"/>
              <w:left w:val="single" w:color="auto" w:sz="4" w:space="0"/>
              <w:right w:val="single" w:color="auto" w:sz="4" w:space="0"/>
            </w:tcBorders>
            <w:vAlign w:val="center"/>
          </w:tcPr>
          <w:p>
            <w:pPr>
              <w:ind w:left="-5" w:leftChars="-2" w:hanging="1" w:hangingChars="1"/>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41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安全生产</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(满分20分，</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SYSG2-4-36</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未办理施工现场人员人身意外伤害保险</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SYSG2-4-37</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“平安工地”建设工作开展情况（视开展情况扣分）</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SYSG2-4-38</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未按要求开展水运工程“平安工地”建设活动</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社会责任</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(满分5分,扣完为止)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SYSG2-5-1</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sz w:val="18"/>
                <w:szCs w:val="18"/>
              </w:rPr>
              <w:t>恶意拖欠农民工工资，造成不良影响</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SYSG2-5-2</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sz w:val="18"/>
                <w:szCs w:val="18"/>
              </w:rPr>
              <w:t>施工产生的废渣随意丢弃，废水随意排放，造成环境污染事故</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shd w:val="clear" w:color="auto" w:fill="FFFFFF"/>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shd w:val="clear" w:color="auto" w:fill="FFFFFF"/>
              </w:rPr>
              <w:t>3</w:t>
            </w:r>
            <w:r>
              <w:rPr>
                <w:rFonts w:hint="eastAsia" w:ascii="仿宋" w:hAnsi="仿宋" w:eastAsia="仿宋" w:cs="仿宋"/>
                <w:color w:val="auto"/>
                <w:sz w:val="18"/>
                <w:szCs w:val="18"/>
              </w:rPr>
              <w:t>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SYSG2-5-3</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在崩塌滑坡危险区、泥石流易发区范围内取土、挖砂或者采石</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shd w:val="clear" w:color="auto" w:fill="FFFFFF"/>
              </w:rPr>
              <w:t>3</w:t>
            </w:r>
            <w:r>
              <w:rPr>
                <w:rFonts w:hint="eastAsia" w:ascii="仿宋" w:hAnsi="仿宋" w:eastAsia="仿宋" w:cs="仿宋"/>
                <w:color w:val="auto"/>
                <w:sz w:val="18"/>
                <w:szCs w:val="18"/>
              </w:rPr>
              <w:t>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SYSG2-5-4</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施工中破坏生态环境；或施工过程中造成水土流失，不进行治理</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SYSG2-5-5</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生活区、办公区设置杂乱，卫生环境差</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SYSG2-5-6</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建设项目出现突发事件，拒不执行应急或救援任务</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SYSG2-5-7</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临时占用农田、林地等未及时复垦或恢复原状，或乱占土地、草场</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SYSG2-5-8</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未按要求签订廉政合同</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SYSG2-5-9</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违反廉政合同要求</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autoSpaceDN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SYSG2-5-10</w:t>
            </w:r>
          </w:p>
        </w:tc>
        <w:tc>
          <w:tcPr>
            <w:tcW w:w="8080" w:type="dxa"/>
            <w:tcBorders>
              <w:top w:val="single" w:color="auto" w:sz="4" w:space="0"/>
              <w:left w:val="single" w:color="auto" w:sz="4" w:space="0"/>
              <w:bottom w:val="single" w:color="auto" w:sz="4" w:space="0"/>
              <w:right w:val="single" w:color="auto" w:sz="4" w:space="0"/>
            </w:tcBorders>
            <w:vAlign w:val="center"/>
          </w:tcPr>
          <w:p>
            <w:pPr>
              <w:autoSpaceDN w:val="0"/>
              <w:rPr>
                <w:rFonts w:hint="eastAsia" w:ascii="仿宋" w:hAnsi="仿宋" w:eastAsia="仿宋" w:cs="仿宋"/>
                <w:color w:val="auto"/>
                <w:sz w:val="18"/>
                <w:szCs w:val="18"/>
              </w:rPr>
            </w:pPr>
            <w:r>
              <w:rPr>
                <w:rFonts w:hint="eastAsia" w:ascii="仿宋" w:hAnsi="仿宋" w:eastAsia="仿宋" w:cs="仿宋"/>
                <w:color w:val="auto"/>
                <w:kern w:val="0"/>
                <w:sz w:val="18"/>
                <w:szCs w:val="18"/>
              </w:rPr>
              <w:t>对各级单位检查发现的其他问题未及时整改的或整改不到位</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其他</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SYSG2-6-1</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承担的工程未批先建或设计变更未批先干，未提出书面警示意见</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SYSG2-6-2</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5分</w:t>
            </w:r>
          </w:p>
        </w:tc>
      </w:tr>
    </w:tbl>
    <w:p>
      <w:pPr>
        <w:tabs>
          <w:tab w:val="left" w:pos="988"/>
          <w:tab w:val="left" w:pos="2406"/>
          <w:tab w:val="left" w:pos="3823"/>
          <w:tab w:val="left" w:pos="11903"/>
        </w:tabs>
        <w:ind w:left="-285"/>
        <w:jc w:val="left"/>
        <w:rPr>
          <w:rFonts w:ascii="仿宋_GB2312" w:hAnsi="仿宋"/>
          <w:color w:val="auto"/>
          <w:sz w:val="18"/>
          <w:szCs w:val="18"/>
        </w:rPr>
      </w:pPr>
      <w:r>
        <w:rPr>
          <w:rFonts w:ascii="仿宋_GB2312" w:hAnsi="仿宋"/>
          <w:color w:val="auto"/>
          <w:sz w:val="18"/>
          <w:szCs w:val="18"/>
        </w:rPr>
        <w:tab/>
      </w:r>
      <w:r>
        <w:rPr>
          <w:rFonts w:ascii="仿宋_GB2312" w:hAnsi="仿宋"/>
          <w:color w:val="auto"/>
          <w:sz w:val="18"/>
          <w:szCs w:val="18"/>
        </w:rPr>
        <w:tab/>
      </w:r>
      <w:r>
        <w:rPr>
          <w:rFonts w:ascii="仿宋_GB2312" w:hAnsi="仿宋"/>
          <w:color w:val="auto"/>
          <w:sz w:val="18"/>
          <w:szCs w:val="18"/>
        </w:rPr>
        <w:tab/>
      </w:r>
    </w:p>
    <w:p>
      <w:pPr>
        <w:tabs>
          <w:tab w:val="left" w:pos="988"/>
          <w:tab w:val="left" w:pos="2406"/>
          <w:tab w:val="left" w:pos="3823"/>
          <w:tab w:val="left" w:pos="11903"/>
        </w:tabs>
        <w:ind w:left="-285"/>
        <w:jc w:val="left"/>
        <w:rPr>
          <w:rFonts w:ascii="仿宋_GB2312" w:hAnsi="仿宋"/>
          <w:color w:val="auto"/>
          <w:sz w:val="18"/>
          <w:szCs w:val="18"/>
        </w:rPr>
      </w:pPr>
    </w:p>
    <w:p>
      <w:pPr>
        <w:tabs>
          <w:tab w:val="left" w:pos="846"/>
          <w:tab w:val="left" w:pos="1841"/>
          <w:tab w:val="left" w:pos="3117"/>
          <w:tab w:val="left" w:pos="12331"/>
        </w:tabs>
        <w:ind w:left="-285"/>
        <w:jc w:val="center"/>
        <w:rPr>
          <w:rFonts w:ascii="仿宋_GB2312" w:hAnsi="仿宋"/>
          <w:color w:val="auto"/>
          <w:sz w:val="18"/>
          <w:szCs w:val="18"/>
        </w:rPr>
      </w:pPr>
      <w:r>
        <w:rPr>
          <w:rFonts w:ascii="仿宋_GB2312" w:hAnsi="仿宋"/>
          <w:color w:val="auto"/>
          <w:sz w:val="18"/>
          <w:szCs w:val="18"/>
        </w:rPr>
        <w:tab/>
      </w:r>
      <w:r>
        <w:rPr>
          <w:rFonts w:ascii="仿宋_GB2312" w:hAnsi="仿宋"/>
          <w:color w:val="auto"/>
          <w:sz w:val="18"/>
          <w:szCs w:val="18"/>
        </w:rPr>
        <w:tab/>
      </w:r>
    </w:p>
    <w:p>
      <w:pPr>
        <w:tabs>
          <w:tab w:val="left" w:pos="846"/>
          <w:tab w:val="left" w:pos="1841"/>
          <w:tab w:val="left" w:pos="3117"/>
          <w:tab w:val="left" w:pos="12331"/>
        </w:tabs>
        <w:ind w:left="-285"/>
        <w:jc w:val="center"/>
        <w:rPr>
          <w:rFonts w:ascii="仿宋_GB2312" w:hAnsi="仿宋"/>
          <w:color w:val="auto"/>
          <w:sz w:val="18"/>
          <w:szCs w:val="18"/>
        </w:rPr>
      </w:pPr>
      <w:r>
        <w:rPr>
          <w:rFonts w:hint="eastAsia" w:ascii="宋体" w:hAnsi="宋体" w:cs="仿宋_GB2312"/>
          <w:b/>
          <w:bCs/>
          <w:color w:val="auto"/>
          <w:kern w:val="0"/>
          <w:szCs w:val="32"/>
        </w:rPr>
        <w:t>广东省水运工程施工企业信用行为评定标准（其他信用行为）</w:t>
      </w:r>
    </w:p>
    <w:p>
      <w:pPr>
        <w:tabs>
          <w:tab w:val="left" w:pos="988"/>
          <w:tab w:val="left" w:pos="2406"/>
          <w:tab w:val="left" w:pos="3823"/>
          <w:tab w:val="left" w:pos="11903"/>
        </w:tabs>
        <w:ind w:left="-285"/>
        <w:jc w:val="left"/>
        <w:rPr>
          <w:rFonts w:ascii="仿宋_GB2312" w:hAnsi="仿宋"/>
          <w:color w:val="auto"/>
          <w:sz w:val="18"/>
          <w:szCs w:val="18"/>
        </w:rPr>
      </w:pPr>
    </w:p>
    <w:tbl>
      <w:tblPr>
        <w:tblStyle w:val="6"/>
        <w:tblW w:w="1425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3"/>
        <w:gridCol w:w="1418"/>
        <w:gridCol w:w="1417"/>
        <w:gridCol w:w="8080"/>
        <w:gridCol w:w="2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jc w:val="center"/>
        </w:trPr>
        <w:tc>
          <w:tcPr>
            <w:tcW w:w="127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ind w:left="-162" w:leftChars="-51" w:right="-189" w:rightChars="-59" w:hanging="1"/>
              <w:jc w:val="center"/>
              <w:rPr>
                <w:rFonts w:hint="eastAsia" w:ascii="仿宋" w:hAnsi="仿宋" w:eastAsia="仿宋" w:cs="仿宋"/>
                <w:b/>
                <w:bCs/>
                <w:color w:val="auto"/>
                <w:spacing w:val="-4"/>
                <w:sz w:val="18"/>
                <w:szCs w:val="18"/>
              </w:rPr>
            </w:pPr>
            <w:r>
              <w:rPr>
                <w:rFonts w:hint="eastAsia" w:ascii="仿宋" w:hAnsi="仿宋" w:eastAsia="仿宋" w:cs="仿宋"/>
                <w:b/>
                <w:bCs/>
                <w:color w:val="auto"/>
                <w:sz w:val="18"/>
                <w:szCs w:val="18"/>
              </w:rPr>
              <w:t>行为代码</w:t>
            </w:r>
          </w:p>
        </w:tc>
        <w:tc>
          <w:tcPr>
            <w:tcW w:w="808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b/>
                <w:bCs/>
                <w:color w:val="auto"/>
                <w:spacing w:val="-4"/>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其它信用</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p>
            <w:pPr>
              <w:ind w:left="-97" w:leftChars="-69" w:right="-163" w:rightChars="-51" w:hanging="124" w:hangingChars="69"/>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w:t>
            </w:r>
          </w:p>
          <w:p>
            <w:pPr>
              <w:ind w:left="-97" w:leftChars="-69" w:right="-163" w:rightChars="-51" w:hanging="124" w:hangingChars="69"/>
              <w:jc w:val="center"/>
              <w:rPr>
                <w:rFonts w:hint="eastAsia" w:ascii="仿宋" w:hAnsi="仿宋" w:eastAsia="仿宋" w:cs="仿宋"/>
                <w:color w:val="auto"/>
                <w:sz w:val="18"/>
                <w:szCs w:val="18"/>
              </w:rPr>
            </w:pPr>
            <w:r>
              <w:rPr>
                <w:rFonts w:hint="eastAsia" w:ascii="仿宋" w:hAnsi="仿宋" w:eastAsia="仿宋" w:cs="仿宋"/>
                <w:color w:val="auto"/>
                <w:sz w:val="18"/>
                <w:szCs w:val="18"/>
              </w:rPr>
              <w:t xml:space="preserve"> 在总分中扣除，</w:t>
            </w:r>
          </w:p>
          <w:p>
            <w:pPr>
              <w:ind w:left="-97" w:leftChars="-69" w:right="-163" w:rightChars="-51" w:hanging="124" w:hangingChars="69"/>
              <w:jc w:val="center"/>
              <w:rPr>
                <w:rFonts w:hint="eastAsia" w:ascii="仿宋" w:hAnsi="仿宋" w:eastAsia="仿宋" w:cs="仿宋"/>
                <w:color w:val="auto"/>
                <w:sz w:val="18"/>
                <w:szCs w:val="18"/>
              </w:rPr>
            </w:pPr>
            <w:r>
              <w:rPr>
                <w:rFonts w:hint="eastAsia" w:ascii="仿宋" w:hAnsi="仿宋" w:eastAsia="仿宋" w:cs="仿宋"/>
                <w:color w:val="auto"/>
                <w:sz w:val="18"/>
                <w:szCs w:val="18"/>
              </w:rPr>
              <w:t>扣完为止）</w:t>
            </w:r>
          </w:p>
        </w:tc>
        <w:tc>
          <w:tcPr>
            <w:tcW w:w="1418" w:type="dxa"/>
            <w:vMerge w:val="restart"/>
            <w:tcBorders>
              <w:top w:val="single" w:color="auto" w:sz="4" w:space="0"/>
              <w:left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严重失信行为</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SYSG3-1-1</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被司法机关认定有行贿、受贿行为，并构成犯罪</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SYSG3-1-2</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企业在资质申请、延续、变更中存在造假行为</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SYSG3-1-3</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与招标人串通投标</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SYSG3-1-4</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与招标人订立背离合同实质性内容的其他协议</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SYSG3-1-5</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由于企业自身原因，应参加信用评价但未按要求提交相关评价资料参加信用评价的</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restart"/>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一般失信行为</w:t>
            </w: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SYSG3-2-1</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未按规定填报或变更信用信息</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SYSG3-2-2</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填报或变更信用信息存在造假行为</w:t>
            </w:r>
          </w:p>
        </w:tc>
        <w:tc>
          <w:tcPr>
            <w:tcW w:w="206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SYSG3-2-3</w:t>
            </w:r>
          </w:p>
        </w:tc>
        <w:tc>
          <w:tcPr>
            <w:tcW w:w="8080"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弄虚作假或以不正当手段骗取较高信用等级</w:t>
            </w:r>
          </w:p>
        </w:tc>
        <w:tc>
          <w:tcPr>
            <w:tcW w:w="2069" w:type="dxa"/>
            <w:tcBorders>
              <w:top w:val="single" w:color="auto" w:sz="4" w:space="0"/>
              <w:left w:val="single" w:color="auto" w:sz="4" w:space="0"/>
              <w:bottom w:val="single" w:color="auto" w:sz="4" w:space="0"/>
              <w:right w:val="single" w:color="auto" w:sz="4" w:space="0"/>
            </w:tcBorders>
            <w:vAlign w:val="center"/>
          </w:tcPr>
          <w:p>
            <w:pPr>
              <w:ind w:right="-128" w:rightChars="-40"/>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SYSG3-2-4</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被省级以上交通运输主管部门或部属单位通报批评</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SYSG3-2-5</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被地级以上市交通运输（港口）主管部门通报批评</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SYSG3-2-6</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拒绝参与政府部门组织的应急抢险任务</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SYSG3-2-7</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信用评价年度内，因在我省水运工程质量和安全生产的违法违规行为，被交通运输部予以信息公开的；或因工程建设质量安全等问题被列入省级工程质量安全重要事项阳光公开目录予以信息公开的。</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2</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SYSG3-2-8</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 xml:space="preserve">信用评价年度内，在我省水运工程建设项目的从业施工单位，发生安全生产责任事故的，扣1.0分×事故起数×死亡人数；发生非责任事故的，扣0.5分×事故起数×死亡人数。（人员伤亡数量以省交通运输厅生产安全事故统计信息为准，事故类型以安全生产事故调查报告或事故调查处理单位有关证明为准，自然灾害造成的伤亡情况除外） </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 xml:space="preserve">扣0.5分或1.0分×事故起数×死亡人数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27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SYSG3-2-9</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691" w:type="dxa"/>
            <w:gridSpan w:val="2"/>
            <w:vMerge w:val="restart"/>
            <w:tcBorders>
              <w:top w:val="single" w:color="auto" w:sz="4" w:space="0"/>
              <w:left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其他信用行为-良好信誉行为</w:t>
            </w: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SYSG4-1-1</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评价年度内，企业在抢险救灾、应急保障、国防战备等任务中受到省部级以上行政机关表彰</w:t>
            </w:r>
          </w:p>
        </w:tc>
        <w:tc>
          <w:tcPr>
            <w:tcW w:w="2069" w:type="dxa"/>
            <w:vMerge w:val="restart"/>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1分/次（项），累计加分不超过3分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691" w:type="dxa"/>
            <w:gridSpan w:val="2"/>
            <w:vMerge w:val="continue"/>
            <w:tcBorders>
              <w:left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SYSG4-1-2</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评价年度内，承担的水运工程建设项目获得国家科技进步奖（二等奖以上）、国家优质工程奖、詹天佑奖、鲁班奖</w:t>
            </w:r>
          </w:p>
        </w:tc>
        <w:tc>
          <w:tcPr>
            <w:tcW w:w="2069"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691" w:type="dxa"/>
            <w:gridSpan w:val="2"/>
            <w:vMerge w:val="continue"/>
            <w:tcBorders>
              <w:left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SYSG4-1-3</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kern w:val="0"/>
                <w:sz w:val="18"/>
                <w:szCs w:val="18"/>
              </w:rPr>
              <w:t>参加抢险救灾，并经地级以上市交通等行政主管部门认可的，</w:t>
            </w:r>
            <w:r>
              <w:rPr>
                <w:rFonts w:hint="eastAsia" w:ascii="仿宋" w:hAnsi="仿宋" w:eastAsia="仿宋" w:cs="仿宋"/>
                <w:color w:val="auto"/>
                <w:sz w:val="18"/>
                <w:szCs w:val="18"/>
              </w:rPr>
              <w:t>0.5</w:t>
            </w:r>
            <w:r>
              <w:rPr>
                <w:rFonts w:hint="eastAsia" w:ascii="仿宋" w:hAnsi="仿宋" w:eastAsia="仿宋" w:cs="仿宋"/>
                <w:color w:val="auto"/>
                <w:kern w:val="0"/>
                <w:sz w:val="18"/>
                <w:szCs w:val="18"/>
              </w:rPr>
              <w:t>分/次，最高限值1分</w:t>
            </w:r>
          </w:p>
        </w:tc>
        <w:tc>
          <w:tcPr>
            <w:tcW w:w="2069" w:type="dxa"/>
            <w:vMerge w:val="restart"/>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0.5</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1</w:t>
            </w:r>
            <w:r>
              <w:rPr>
                <w:rFonts w:hint="eastAsia" w:ascii="仿宋" w:hAnsi="仿宋" w:eastAsia="仿宋" w:cs="仿宋"/>
                <w:color w:val="auto"/>
                <w:kern w:val="0"/>
                <w:sz w:val="18"/>
                <w:szCs w:val="18"/>
              </w:rPr>
              <w:t>分/次，累计加分不超过2分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691" w:type="dxa"/>
            <w:gridSpan w:val="2"/>
            <w:vMerge w:val="continue"/>
            <w:tcBorders>
              <w:left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SYSG4-1-4</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kern w:val="0"/>
                <w:sz w:val="18"/>
                <w:szCs w:val="18"/>
              </w:rPr>
              <w:t>获得地级以上市交通运输主管部门通报表彰，0.5分/次（对应参与评价的项目）</w:t>
            </w:r>
          </w:p>
        </w:tc>
        <w:tc>
          <w:tcPr>
            <w:tcW w:w="2069"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691" w:type="dxa"/>
            <w:gridSpan w:val="2"/>
            <w:vMerge w:val="continue"/>
            <w:tcBorders>
              <w:left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SYSG4-1-5</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sz w:val="18"/>
                <w:szCs w:val="18"/>
              </w:rPr>
            </w:pPr>
            <w:r>
              <w:rPr>
                <w:rFonts w:hint="eastAsia" w:ascii="仿宋" w:hAnsi="仿宋" w:eastAsia="仿宋" w:cs="仿宋"/>
                <w:color w:val="auto"/>
                <w:kern w:val="0"/>
                <w:sz w:val="18"/>
                <w:szCs w:val="18"/>
              </w:rPr>
              <w:t>获得省级</w:t>
            </w:r>
            <w:r>
              <w:rPr>
                <w:rFonts w:hint="eastAsia" w:ascii="仿宋" w:hAnsi="仿宋" w:eastAsia="仿宋" w:cs="仿宋"/>
                <w:color w:val="auto"/>
                <w:sz w:val="18"/>
                <w:szCs w:val="18"/>
              </w:rPr>
              <w:t>以上</w:t>
            </w:r>
            <w:r>
              <w:rPr>
                <w:rFonts w:hint="eastAsia" w:ascii="仿宋" w:hAnsi="仿宋" w:eastAsia="仿宋" w:cs="仿宋"/>
                <w:color w:val="auto"/>
                <w:kern w:val="0"/>
                <w:sz w:val="18"/>
                <w:szCs w:val="18"/>
              </w:rPr>
              <w:t>交通运输主管部门通报表彰，1分/次</w:t>
            </w:r>
          </w:p>
        </w:tc>
        <w:tc>
          <w:tcPr>
            <w:tcW w:w="2069" w:type="dxa"/>
            <w:vMerge w:val="continue"/>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2691" w:type="dxa"/>
            <w:gridSpan w:val="2"/>
            <w:vMerge w:val="continue"/>
            <w:tcBorders>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SYSG4-1-6</w:t>
            </w:r>
          </w:p>
        </w:tc>
        <w:tc>
          <w:tcPr>
            <w:tcW w:w="8080"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信用评价年度内，从业单位在我省水运工程建设质量安全方面取得突出成绩，列入省级工程质量安全重要事项阳光公开目录并予以信息公开的</w:t>
            </w:r>
          </w:p>
        </w:tc>
        <w:tc>
          <w:tcPr>
            <w:tcW w:w="2069" w:type="dxa"/>
            <w:tcBorders>
              <w:top w:val="single" w:color="auto" w:sz="4" w:space="0"/>
              <w:left w:val="single" w:color="auto" w:sz="4" w:space="0"/>
              <w:bottom w:val="single" w:color="auto" w:sz="4" w:space="0"/>
              <w:right w:val="single" w:color="auto" w:sz="4" w:space="0"/>
            </w:tcBorders>
            <w:vAlign w:val="center"/>
          </w:tcPr>
          <w:p>
            <w:pPr>
              <w:overflowPunct w:val="0"/>
              <w:jc w:val="center"/>
              <w:rPr>
                <w:rFonts w:hint="eastAsia" w:ascii="仿宋" w:hAnsi="仿宋" w:eastAsia="仿宋" w:cs="仿宋"/>
                <w:color w:val="auto"/>
                <w:sz w:val="18"/>
                <w:szCs w:val="18"/>
              </w:rPr>
            </w:pPr>
            <w:r>
              <w:rPr>
                <w:rFonts w:hint="eastAsia" w:ascii="仿宋" w:hAnsi="仿宋" w:eastAsia="仿宋" w:cs="仿宋"/>
                <w:color w:val="auto"/>
                <w:sz w:val="18"/>
                <w:szCs w:val="18"/>
              </w:rPr>
              <w:t xml:space="preserve">加1分(在企业总分增加，最高限值2分) </w:t>
            </w:r>
          </w:p>
        </w:tc>
      </w:tr>
    </w:tbl>
    <w:p>
      <w:pPr>
        <w:keepNext w:val="0"/>
        <w:keepLines w:val="0"/>
        <w:pageBreakBefore w:val="0"/>
        <w:widowControl w:val="0"/>
        <w:kinsoku/>
        <w:wordWrap/>
        <w:overflowPunct/>
        <w:topLinePunct w:val="0"/>
        <w:autoSpaceDE/>
        <w:autoSpaceDN/>
        <w:bidi w:val="0"/>
        <w:adjustRightInd w:val="0"/>
        <w:snapToGrid w:val="0"/>
        <w:spacing w:line="320" w:lineRule="atLeast"/>
        <w:ind w:right="0" w:rightChars="0" w:firstLine="240" w:firstLineChars="100"/>
        <w:jc w:val="both"/>
        <w:textAlignment w:val="auto"/>
        <w:outlineLvl w:val="9"/>
        <w:rPr>
          <w:rFonts w:ascii="宋体" w:eastAsia="宋体" w:cs="宋体"/>
          <w:color w:val="auto"/>
          <w:sz w:val="24"/>
          <w:szCs w:val="24"/>
        </w:rPr>
      </w:pPr>
      <w:r>
        <w:rPr>
          <w:rFonts w:hint="eastAsia" w:ascii="宋体" w:hAnsi="宋体" w:cs="仿宋_GB2312"/>
          <w:color w:val="auto"/>
          <w:sz w:val="24"/>
          <w:szCs w:val="24"/>
        </w:rPr>
        <w:t>注：</w:t>
      </w:r>
      <w:r>
        <w:rPr>
          <w:rFonts w:ascii="宋体" w:hAnsi="宋体" w:cs="宋体"/>
          <w:color w:val="auto"/>
          <w:sz w:val="24"/>
          <w:szCs w:val="24"/>
        </w:rPr>
        <w:t>1.</w:t>
      </w:r>
      <w:r>
        <w:rPr>
          <w:rFonts w:hint="eastAsia" w:ascii="宋体" w:hAnsi="宋体" w:cs="仿宋_GB2312"/>
          <w:color w:val="auto"/>
          <w:sz w:val="24"/>
          <w:szCs w:val="24"/>
        </w:rPr>
        <w:t>“其他被认定的失信行为”是指由省级以上交通运输主管部门或部属单位依据法律法规认定的企业其他失信行为。</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 xml:space="preserve">2.SYSG2-1-2 </w:t>
      </w:r>
      <w:r>
        <w:rPr>
          <w:rFonts w:hint="eastAsia" w:ascii="宋体" w:hAnsi="宋体" w:cs="仿宋_GB2312"/>
          <w:color w:val="auto"/>
          <w:sz w:val="24"/>
          <w:szCs w:val="24"/>
        </w:rPr>
        <w:t>、</w:t>
      </w:r>
      <w:r>
        <w:rPr>
          <w:rFonts w:ascii="宋体" w:hAnsi="宋体" w:cs="宋体"/>
          <w:color w:val="auto"/>
          <w:sz w:val="24"/>
          <w:szCs w:val="24"/>
        </w:rPr>
        <w:t xml:space="preserve">SYSG2-1-3 </w:t>
      </w:r>
      <w:r>
        <w:rPr>
          <w:rFonts w:hint="eastAsia" w:ascii="宋体" w:hAnsi="宋体" w:cs="仿宋_GB2312"/>
          <w:color w:val="auto"/>
          <w:sz w:val="24"/>
          <w:szCs w:val="24"/>
        </w:rPr>
        <w:t>、</w:t>
      </w:r>
      <w:r>
        <w:rPr>
          <w:rFonts w:ascii="宋体" w:hAnsi="宋体" w:cs="宋体"/>
          <w:color w:val="auto"/>
          <w:sz w:val="24"/>
          <w:szCs w:val="24"/>
        </w:rPr>
        <w:t>SYSG2-3-7</w:t>
      </w:r>
      <w:r>
        <w:rPr>
          <w:rFonts w:hint="eastAsia" w:ascii="宋体" w:hAnsi="宋体" w:cs="仿宋_GB2312"/>
          <w:color w:val="auto"/>
          <w:sz w:val="24"/>
          <w:szCs w:val="24"/>
        </w:rPr>
        <w:t>、</w:t>
      </w:r>
      <w:r>
        <w:rPr>
          <w:rFonts w:ascii="宋体" w:hAnsi="宋体" w:cs="宋体"/>
          <w:color w:val="auto"/>
          <w:sz w:val="24"/>
          <w:szCs w:val="24"/>
        </w:rPr>
        <w:t>SYSG2-4-1</w:t>
      </w:r>
      <w:r>
        <w:rPr>
          <w:rFonts w:hint="eastAsia" w:ascii="宋体" w:hAnsi="宋体" w:cs="仿宋_GB2312"/>
          <w:color w:val="auto"/>
          <w:sz w:val="24"/>
          <w:szCs w:val="24"/>
        </w:rPr>
        <w:t>、</w:t>
      </w:r>
      <w:r>
        <w:rPr>
          <w:rFonts w:ascii="宋体" w:hAnsi="宋体" w:cs="宋体"/>
          <w:color w:val="auto"/>
          <w:sz w:val="24"/>
          <w:szCs w:val="24"/>
        </w:rPr>
        <w:t>SYSG2-4-2</w:t>
      </w:r>
      <w:r>
        <w:rPr>
          <w:rFonts w:hint="eastAsia" w:ascii="宋体" w:hAnsi="宋体" w:cs="仿宋_GB2312"/>
          <w:color w:val="auto"/>
          <w:sz w:val="24"/>
          <w:szCs w:val="24"/>
        </w:rPr>
        <w:t>应依据有关部门的事故调查处理结果认定。质量事故、安全事故的等级划分标准执行《生产安全事故报告和调查处理条例》（国务院第</w:t>
      </w:r>
      <w:r>
        <w:rPr>
          <w:rFonts w:ascii="宋体" w:hAnsi="宋体" w:cs="宋体"/>
          <w:color w:val="auto"/>
          <w:sz w:val="24"/>
          <w:szCs w:val="24"/>
        </w:rPr>
        <w:t>493</w:t>
      </w:r>
      <w:r>
        <w:rPr>
          <w:rFonts w:hint="eastAsia" w:ascii="宋体" w:hAnsi="宋体" w:cs="仿宋_GB2312"/>
          <w:color w:val="auto"/>
          <w:sz w:val="24"/>
          <w:szCs w:val="24"/>
        </w:rPr>
        <w:t>号令）、《</w:t>
      </w:r>
      <w:r>
        <w:rPr>
          <w:rFonts w:hint="eastAsia" w:ascii="宋体" w:hAnsi="宋体" w:cs="仿宋_GB2312"/>
          <w:color w:val="auto"/>
          <w:sz w:val="24"/>
          <w:szCs w:val="24"/>
          <w:lang w:eastAsia="zh-CN"/>
        </w:rPr>
        <w:t>水运</w:t>
      </w:r>
      <w:r>
        <w:rPr>
          <w:rFonts w:hint="eastAsia" w:ascii="宋体" w:hAnsi="宋体" w:cs="仿宋_GB2312"/>
          <w:color w:val="auto"/>
          <w:sz w:val="24"/>
          <w:szCs w:val="24"/>
        </w:rPr>
        <w:t>水运建设工程质量事故等级划分和报告制度》（交办安监〔</w:t>
      </w:r>
      <w:r>
        <w:rPr>
          <w:rFonts w:hint="eastAsia" w:ascii="宋体" w:hAnsi="宋体" w:cs="宋体"/>
          <w:color w:val="auto"/>
          <w:sz w:val="24"/>
          <w:szCs w:val="24"/>
        </w:rPr>
        <w:t>2016</w:t>
      </w:r>
      <w:r>
        <w:rPr>
          <w:rFonts w:hint="eastAsia" w:ascii="宋体" w:hAnsi="宋体" w:cs="仿宋_GB2312"/>
          <w:color w:val="auto"/>
          <w:sz w:val="24"/>
          <w:szCs w:val="24"/>
        </w:rPr>
        <w:t>〕</w:t>
      </w:r>
      <w:r>
        <w:rPr>
          <w:rFonts w:hint="eastAsia" w:ascii="宋体" w:hAnsi="宋体" w:cs="宋体"/>
          <w:color w:val="auto"/>
          <w:sz w:val="24"/>
          <w:szCs w:val="24"/>
        </w:rPr>
        <w:t>146</w:t>
      </w:r>
      <w:r>
        <w:rPr>
          <w:rFonts w:hint="eastAsia" w:ascii="宋体" w:hAnsi="宋体" w:cs="仿宋_GB2312"/>
          <w:color w:val="auto"/>
          <w:sz w:val="24"/>
          <w:szCs w:val="24"/>
        </w:rPr>
        <w:t>号）等。</w:t>
      </w:r>
    </w:p>
    <w:p>
      <w:pPr>
        <w:keepNext w:val="0"/>
        <w:keepLines w:val="0"/>
        <w:pageBreakBefore w:val="0"/>
        <w:widowControl w:val="0"/>
        <w:tabs>
          <w:tab w:val="left" w:pos="709"/>
        </w:tabs>
        <w:kinsoku/>
        <w:wordWrap/>
        <w:overflowPunct/>
        <w:topLinePunct w:val="0"/>
        <w:autoSpaceDE/>
        <w:autoSpaceDN/>
        <w:bidi w:val="0"/>
        <w:adjustRightInd w:val="0"/>
        <w:snapToGrid w:val="0"/>
        <w:spacing w:line="320" w:lineRule="atLeast"/>
        <w:ind w:right="0" w:rightChars="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3.SYSG2-2-1</w:t>
      </w:r>
      <w:r>
        <w:rPr>
          <w:rFonts w:hint="eastAsia" w:ascii="宋体" w:hAnsi="宋体" w:cs="仿宋_GB2312"/>
          <w:color w:val="auto"/>
          <w:sz w:val="24"/>
          <w:szCs w:val="24"/>
        </w:rPr>
        <w:t>主要包括以下情形：</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firstLine="720" w:firstLineChars="300"/>
        <w:jc w:val="both"/>
        <w:textAlignment w:val="auto"/>
        <w:outlineLvl w:val="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1</w:t>
      </w:r>
      <w:r>
        <w:rPr>
          <w:rFonts w:hint="eastAsia" w:ascii="宋体" w:hAnsi="宋体" w:cs="仿宋_GB2312"/>
          <w:color w:val="auto"/>
          <w:sz w:val="24"/>
          <w:szCs w:val="24"/>
        </w:rPr>
        <w:t>）配备的项目经理、技术负责人低于投标承诺的条件（包括职称、业绩、资历等）；</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firstLine="720" w:firstLineChars="300"/>
        <w:jc w:val="both"/>
        <w:textAlignment w:val="auto"/>
        <w:outlineLvl w:val="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2</w:t>
      </w:r>
      <w:r>
        <w:rPr>
          <w:rFonts w:hint="eastAsia" w:ascii="宋体" w:hAnsi="宋体" w:cs="仿宋_GB2312"/>
          <w:color w:val="auto"/>
          <w:sz w:val="24"/>
          <w:szCs w:val="24"/>
        </w:rPr>
        <w:t>）配备的项目经理、技术负责人不低于投标承诺的条件，但未经项目法人同意进行更换；</w:t>
      </w:r>
    </w:p>
    <w:p>
      <w:pPr>
        <w:keepNext w:val="0"/>
        <w:keepLines w:val="0"/>
        <w:pageBreakBefore w:val="0"/>
        <w:widowControl w:val="0"/>
        <w:kinsoku/>
        <w:wordWrap/>
        <w:overflowPunct/>
        <w:topLinePunct w:val="0"/>
        <w:autoSpaceDE/>
        <w:autoSpaceDN/>
        <w:bidi w:val="0"/>
        <w:adjustRightInd w:val="0"/>
        <w:snapToGrid w:val="0"/>
        <w:spacing w:line="320" w:lineRule="atLeast"/>
        <w:ind w:left="698" w:leftChars="218" w:right="0" w:rightChars="0"/>
        <w:jc w:val="both"/>
        <w:textAlignment w:val="auto"/>
        <w:outlineLvl w:val="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3</w:t>
      </w:r>
      <w:r>
        <w:rPr>
          <w:rFonts w:hint="eastAsia" w:ascii="宋体" w:hAnsi="宋体" w:cs="仿宋_GB2312"/>
          <w:color w:val="auto"/>
          <w:sz w:val="24"/>
          <w:szCs w:val="24"/>
        </w:rPr>
        <w:t>）配备的项目经理、技术负责人不低于投标承诺的条件，虽经过项目法人同意进行更换，但同一岗位更换人次数达到两次以上，从第二次变更开始扣分。</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4.SYSG2-2-2</w:t>
      </w:r>
      <w:r>
        <w:rPr>
          <w:rFonts w:hint="eastAsia" w:ascii="宋体" w:hAnsi="宋体" w:cs="仿宋_GB2312"/>
          <w:color w:val="auto"/>
          <w:sz w:val="24"/>
          <w:szCs w:val="24"/>
        </w:rPr>
        <w:t>中的工程需要的关键施工机械、设备是指外部条件未发生重大变化，为满足合理施工需要应配备的关键施工机械、设备。</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5.SYSG2-5-2</w:t>
      </w:r>
      <w:r>
        <w:rPr>
          <w:rFonts w:hint="eastAsia" w:ascii="宋体" w:hAnsi="宋体" w:cs="仿宋_GB2312"/>
          <w:color w:val="auto"/>
          <w:sz w:val="24"/>
          <w:szCs w:val="24"/>
        </w:rPr>
        <w:t>应依据有关部门的事故调查处理结果认定。环境污染事故的等级划分标准执行《突发环境事件信息报告办法》（环境保护部</w:t>
      </w:r>
      <w:r>
        <w:rPr>
          <w:rFonts w:ascii="宋体" w:hAnsi="宋体" w:cs="宋体"/>
          <w:color w:val="auto"/>
          <w:sz w:val="24"/>
          <w:szCs w:val="24"/>
        </w:rPr>
        <w:t>2011</w:t>
      </w:r>
      <w:r>
        <w:rPr>
          <w:rFonts w:hint="eastAsia" w:ascii="宋体" w:hAnsi="宋体" w:cs="仿宋_GB2312"/>
          <w:color w:val="auto"/>
          <w:sz w:val="24"/>
          <w:szCs w:val="24"/>
        </w:rPr>
        <w:t>年第</w:t>
      </w:r>
      <w:r>
        <w:rPr>
          <w:rFonts w:ascii="宋体" w:hAnsi="宋体" w:cs="宋体"/>
          <w:color w:val="auto"/>
          <w:sz w:val="24"/>
          <w:szCs w:val="24"/>
        </w:rPr>
        <w:t>17</w:t>
      </w:r>
      <w:r>
        <w:rPr>
          <w:rFonts w:hint="eastAsia" w:ascii="宋体" w:hAnsi="宋体" w:cs="仿宋_GB2312"/>
          <w:color w:val="auto"/>
          <w:sz w:val="24"/>
          <w:szCs w:val="24"/>
        </w:rPr>
        <w:t>号令）。</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6.SYSG3-1-1</w:t>
      </w:r>
      <w:r>
        <w:rPr>
          <w:rFonts w:hint="eastAsia" w:ascii="宋体" w:hAnsi="宋体" w:cs="仿宋_GB2312"/>
          <w:color w:val="auto"/>
          <w:sz w:val="24"/>
          <w:szCs w:val="24"/>
        </w:rPr>
        <w:t>是指在项目所在省份从事水运工程施工活动中发生的单位行贿、受贿行为。</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jc w:val="both"/>
        <w:textAlignment w:val="auto"/>
        <w:outlineLvl w:val="9"/>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7. SYSG3-2-4</w:t>
      </w:r>
      <w:r>
        <w:rPr>
          <w:rFonts w:hint="eastAsia" w:ascii="宋体" w:hAnsi="宋体" w:cs="仿宋_GB2312"/>
          <w:color w:val="auto"/>
          <w:sz w:val="24"/>
          <w:szCs w:val="24"/>
        </w:rPr>
        <w:t>、</w:t>
      </w:r>
      <w:r>
        <w:rPr>
          <w:rFonts w:ascii="宋体" w:hAnsi="宋体" w:cs="宋体"/>
          <w:color w:val="auto"/>
          <w:sz w:val="24"/>
          <w:szCs w:val="24"/>
        </w:rPr>
        <w:t>SYSG3-2-5</w:t>
      </w:r>
      <w:r>
        <w:rPr>
          <w:rFonts w:hint="eastAsia" w:ascii="宋体" w:hAnsi="宋体" w:cs="仿宋_GB2312"/>
          <w:color w:val="auto"/>
          <w:sz w:val="24"/>
          <w:szCs w:val="24"/>
        </w:rPr>
        <w:t>当被省级（市级）以上交通运输主管部门或部属单位通报批评，涉及到标准中的具体失信行为时，不重复扣分，按“就高不就低”原则执行。</w:t>
      </w:r>
    </w:p>
    <w:p>
      <w:pPr>
        <w:keepNext w:val="0"/>
        <w:keepLines w:val="0"/>
        <w:pageBreakBefore w:val="0"/>
        <w:widowControl w:val="0"/>
        <w:kinsoku/>
        <w:wordWrap/>
        <w:overflowPunct/>
        <w:topLinePunct w:val="0"/>
        <w:autoSpaceDE/>
        <w:autoSpaceDN/>
        <w:bidi w:val="0"/>
        <w:adjustRightInd w:val="0"/>
        <w:snapToGrid w:val="0"/>
        <w:spacing w:line="320" w:lineRule="atLeast"/>
        <w:ind w:right="0" w:rightChars="0"/>
        <w:jc w:val="both"/>
        <w:textAlignment w:val="auto"/>
        <w:outlineLvl w:val="9"/>
        <w:rPr>
          <w:rFonts w:hint="eastAsia" w:ascii="宋体" w:hAnsi="宋体" w:cs="仿宋_GB2312"/>
          <w:b/>
          <w:bCs/>
          <w:color w:val="auto"/>
          <w:kern w:val="0"/>
          <w:szCs w:val="32"/>
        </w:rPr>
      </w:pPr>
      <w:r>
        <w:rPr>
          <w:rFonts w:hint="eastAsia" w:ascii="宋体" w:hAnsi="宋体" w:cs="宋体"/>
          <w:color w:val="auto"/>
          <w:sz w:val="24"/>
          <w:szCs w:val="24"/>
        </w:rPr>
        <w:t xml:space="preserve">     </w:t>
      </w:r>
      <w:r>
        <w:rPr>
          <w:rFonts w:ascii="宋体" w:hAnsi="宋体" w:cs="宋体"/>
          <w:color w:val="auto"/>
          <w:sz w:val="24"/>
          <w:szCs w:val="24"/>
        </w:rPr>
        <w:t xml:space="preserve">8. </w:t>
      </w:r>
      <w:r>
        <w:rPr>
          <w:rFonts w:hint="eastAsia" w:ascii="宋体" w:hAnsi="宋体" w:cs="仿宋_GB2312"/>
          <w:color w:val="auto"/>
          <w:sz w:val="24"/>
          <w:szCs w:val="24"/>
        </w:rPr>
        <w:t>扣分</w:t>
      </w:r>
      <w:r>
        <w:rPr>
          <w:rFonts w:ascii="宋体" w:hAnsi="宋体" w:cs="宋体"/>
          <w:color w:val="auto"/>
          <w:sz w:val="24"/>
          <w:szCs w:val="24"/>
        </w:rPr>
        <w:t xml:space="preserve"> </w:t>
      </w:r>
      <w:r>
        <w:rPr>
          <w:rFonts w:hint="eastAsia" w:ascii="宋体" w:hAnsi="宋体" w:cs="仿宋_GB2312"/>
          <w:color w:val="auto"/>
          <w:sz w:val="24"/>
          <w:szCs w:val="24"/>
        </w:rPr>
        <w:t>“次”是指在评价期内发现的企业失信行为次数。企业失信行为能够整改的，整改期内不重复扣分，整改期满后，未整改或再次发生同一失信行为，可再次扣分；无法整改的，同一事件不重复扣分。</w:t>
      </w:r>
    </w:p>
    <w:p>
      <w:pPr>
        <w:tabs>
          <w:tab w:val="left" w:pos="13230"/>
        </w:tabs>
        <w:ind w:firstLine="568"/>
        <w:jc w:val="center"/>
        <w:rPr>
          <w:rFonts w:ascii="宋体" w:eastAsia="宋体" w:cs="宋体"/>
          <w:b/>
          <w:bCs/>
          <w:color w:val="auto"/>
          <w:kern w:val="0"/>
          <w:szCs w:val="32"/>
        </w:rPr>
      </w:pPr>
      <w:r>
        <w:rPr>
          <w:rFonts w:hint="eastAsia" w:ascii="宋体" w:hAnsi="宋体" w:cs="仿宋_GB2312"/>
          <w:b/>
          <w:bCs/>
          <w:color w:val="auto"/>
          <w:kern w:val="0"/>
          <w:szCs w:val="32"/>
        </w:rPr>
        <w:t>广东省水运工程监理企业信用行为评定标准（投标行为）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612"/>
        <w:gridCol w:w="15"/>
        <w:gridCol w:w="1628"/>
        <w:gridCol w:w="7854"/>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3255"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785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投标行为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（满分15分，扣完为止）</w:t>
            </w: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SYJL1-1-1</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涂改、伪造、出借、转让资质证书</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SYJL1-1-2</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以他人名义投标或者以其他方式弄虚作假，骗取中标</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SYJL1-1-3</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超越本单位资质等级承揽工程</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SYJL1-1-4</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投标人之间相互串通投标</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SYJL1-1-5</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向招标人或者评标委员会成员行贿谋取中标</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SYJL1-1-6</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法律、法规规定的其他违法情形</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SYJL1-1-7</w:t>
            </w:r>
          </w:p>
        </w:tc>
        <w:tc>
          <w:tcPr>
            <w:tcW w:w="7854" w:type="dxa"/>
            <w:tcBorders>
              <w:top w:val="single" w:color="auto" w:sz="4" w:space="0"/>
              <w:left w:val="single" w:color="auto" w:sz="4" w:space="0"/>
              <w:bottom w:val="single" w:color="auto" w:sz="4" w:space="0"/>
              <w:right w:val="single" w:color="auto" w:sz="4" w:space="0"/>
            </w:tcBorders>
            <w:vAlign w:val="bottom"/>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因违反法律、法规、规章被禁止投标后，在禁止期内仍参与投标</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D级延期半年/次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SYJL1-1-8</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因其他情形被广东省交通运输厅通报批评并取消在广东省交通建设市场投标资格</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SYJL1-2-1</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资格预审申请文件或投标文件存在严重造假行为，事实认定清楚</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SYJL1-2-2</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u w:val="single"/>
              </w:rPr>
            </w:pPr>
            <w:r>
              <w:rPr>
                <w:rFonts w:hint="eastAsia" w:ascii="仿宋" w:hAnsi="仿宋" w:eastAsia="仿宋" w:cs="仿宋"/>
                <w:color w:val="auto"/>
                <w:sz w:val="18"/>
                <w:szCs w:val="18"/>
              </w:rPr>
              <w:t>中标后无正当理由放弃中标;或</w:t>
            </w:r>
            <w:r>
              <w:rPr>
                <w:rFonts w:hint="eastAsia" w:ascii="仿宋" w:hAnsi="仿宋" w:eastAsia="仿宋" w:cs="仿宋"/>
                <w:color w:val="auto"/>
                <w:kern w:val="0"/>
                <w:sz w:val="18"/>
                <w:szCs w:val="18"/>
              </w:rPr>
              <w:t>中标人拒不按照招标文件要求提交履约保证金</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SYJL1-2-3</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捏造事实、伪造材料或者以非法手段取得证明材料，进行虚假、恶意投诉</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SYJL1-2-4</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未按时确认补遗书等招标人发出的通知</w:t>
            </w:r>
          </w:p>
        </w:tc>
        <w:tc>
          <w:tcPr>
            <w:tcW w:w="241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SYJL1-2-5</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无正当理由未在规定时间内签订合同(非投标企业原因除外)</w:t>
            </w:r>
          </w:p>
        </w:tc>
        <w:tc>
          <w:tcPr>
            <w:tcW w:w="2410"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SYJL1-2-6</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对同一合同段递交2份及以上资格预审申请文件或投标文件</w:t>
            </w:r>
          </w:p>
        </w:tc>
        <w:tc>
          <w:tcPr>
            <w:tcW w:w="2410"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SYJL1-2-7</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非招标人或招标文件原因放弃投标，未提前书面告知招标人；无故不参加现场考察和标前会议</w:t>
            </w:r>
          </w:p>
        </w:tc>
        <w:tc>
          <w:tcPr>
            <w:tcW w:w="2410"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SYJL1-2-8</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不及时反馈评标澄清；</w:t>
            </w:r>
          </w:p>
        </w:tc>
        <w:tc>
          <w:tcPr>
            <w:tcW w:w="2410"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7" w:type="dxa"/>
            <w:gridSpan w:val="2"/>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SYJL1-2-9</w:t>
            </w:r>
          </w:p>
        </w:tc>
        <w:tc>
          <w:tcPr>
            <w:tcW w:w="785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投标文件中信用等级承诺书填写错误、不准确</w:t>
            </w:r>
          </w:p>
        </w:tc>
        <w:tc>
          <w:tcPr>
            <w:tcW w:w="2410"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bl>
    <w:p>
      <w:pPr>
        <w:tabs>
          <w:tab w:val="left" w:pos="846"/>
          <w:tab w:val="left" w:pos="1841"/>
          <w:tab w:val="left" w:pos="3100"/>
          <w:tab w:val="left" w:pos="12331"/>
        </w:tabs>
        <w:ind w:left="-285"/>
        <w:jc w:val="center"/>
        <w:rPr>
          <w:rFonts w:hint="eastAsia" w:ascii="宋体" w:hAnsi="宋体" w:cs="仿宋_GB2312"/>
          <w:b/>
          <w:bCs/>
          <w:color w:val="auto"/>
          <w:kern w:val="0"/>
          <w:szCs w:val="32"/>
        </w:rPr>
      </w:pPr>
    </w:p>
    <w:p>
      <w:pPr>
        <w:tabs>
          <w:tab w:val="left" w:pos="846"/>
          <w:tab w:val="left" w:pos="1841"/>
          <w:tab w:val="left" w:pos="3100"/>
          <w:tab w:val="left" w:pos="12331"/>
        </w:tabs>
        <w:ind w:left="-285"/>
        <w:jc w:val="center"/>
        <w:rPr>
          <w:rFonts w:ascii="仿宋" w:hAnsi="仿宋" w:eastAsia="仿宋"/>
          <w:color w:val="auto"/>
          <w:szCs w:val="32"/>
        </w:rPr>
      </w:pPr>
      <w:r>
        <w:rPr>
          <w:rFonts w:hint="eastAsia" w:ascii="宋体" w:hAnsi="宋体" w:cs="仿宋_GB2312"/>
          <w:b/>
          <w:bCs/>
          <w:color w:val="auto"/>
          <w:kern w:val="0"/>
          <w:szCs w:val="32"/>
        </w:rPr>
        <w:t>广东省水运工程监理企业信用行为评定标准（履约行为）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612"/>
        <w:gridCol w:w="1418"/>
        <w:gridCol w:w="8221"/>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3030"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822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SYJL2-1-1</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将中标合同转让</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SYJL2-1-2</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弄虚作假、降低工程质量标准的</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SYJL2-1-3</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在重大质量事故或较大及以上等级安全事故中，监理企业负有主要责任的</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exac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SYJL2-1-4</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在一般质量事故或安全事故中，监理企业负有主要责任的</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10～15分/次（视事故严重程度和责任程度）。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6"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人员到位与设施设备投入</w:t>
            </w:r>
            <w:r>
              <w:rPr>
                <w:rFonts w:hint="eastAsia" w:ascii="仿宋" w:hAnsi="仿宋" w:eastAsia="仿宋" w:cs="仿宋"/>
                <w:color w:val="auto"/>
                <w:sz w:val="18"/>
                <w:szCs w:val="18"/>
              </w:rPr>
              <w:t>（满分10分，扣完为止）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SYJL2-2-1</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总监理工程师、副总监理工程师、总监代表、专业监理工程师不能按投标承诺到位的，每发生1人次分别扣4分、3分、2分、1分；实施过程中每更换一次，分别扣0.5分；替换人资格条件（包括职称、资质、经历、年龄等）低于投标文件承诺的，每发生1人次，分别再扣4、3、2、1分。建设单位要求更换的除外</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SYJL2-2-2</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监理人员更换未经建设单位同意的；主要监理人员无特殊原因不在岗的</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SYJL2-2-3</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无职责分工或分工不明确的，扣1分；监理人员因人员替换造成工作脱节、资料缺失的，每次扣1分；有冒名顶替的，每人次扣2分；在监理人员到位、出勤等问题上有虚假或欺骗行为的，每次扣2分</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SYJL2-2-4</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监理人员有持假证的，其中持虚假监理资格证的扣4分/人次，持虚假职称证的扣2分/人次，持其他虚假证件的扣1分/人次</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SYJL2-2-5</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专业监理工程师未持监理工程师资格证书的，每发生1人次扣2分；监理员没持培训证的，每发生1人次扣1分</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1～2分/人次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SYJL2-2-6</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总监理工程师、副总监理工程师、专业监理工程师没按规定进行岗位登记和业绩登记的（以登记数据为准）</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2分/人次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SYJL2-2-7</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未按合同要求或实际工作需要配备汽车等主要交通工具</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1分/辆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SYJL2-2-8</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未按合同约定配备试验检测、测量仪器设备的</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1分/缺1件(台)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SYJL2-2-9</w:t>
            </w:r>
          </w:p>
        </w:tc>
        <w:tc>
          <w:tcPr>
            <w:tcW w:w="8221"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办公生活用房和其它设施不到位的</w:t>
            </w:r>
          </w:p>
        </w:tc>
        <w:tc>
          <w:tcPr>
            <w:tcW w:w="226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1分/件（项）</w:t>
            </w:r>
          </w:p>
        </w:tc>
      </w:tr>
    </w:tbl>
    <w:p>
      <w:pPr>
        <w:tabs>
          <w:tab w:val="left" w:pos="846"/>
          <w:tab w:val="left" w:pos="1841"/>
          <w:tab w:val="left" w:pos="3100"/>
          <w:tab w:val="left" w:pos="12331"/>
        </w:tabs>
        <w:ind w:left="-285"/>
        <w:jc w:val="center"/>
        <w:rPr>
          <w:rFonts w:ascii="仿宋_GB2312" w:hAnsi="宋体"/>
          <w:color w:val="auto"/>
          <w:kern w:val="0"/>
          <w:sz w:val="18"/>
          <w:szCs w:val="18"/>
        </w:rPr>
      </w:pPr>
      <w:r>
        <w:rPr>
          <w:rFonts w:ascii="仿宋_GB2312" w:hAnsi="仿宋"/>
          <w:color w:val="auto"/>
          <w:sz w:val="18"/>
          <w:szCs w:val="18"/>
        </w:rPr>
        <w:tab/>
      </w:r>
      <w:r>
        <w:rPr>
          <w:rFonts w:ascii="仿宋_GB2312" w:hAnsi="宋体"/>
          <w:color w:val="auto"/>
          <w:kern w:val="0"/>
          <w:sz w:val="18"/>
          <w:szCs w:val="18"/>
        </w:rPr>
        <w:tab/>
      </w:r>
    </w:p>
    <w:p>
      <w:pPr>
        <w:tabs>
          <w:tab w:val="left" w:pos="846"/>
          <w:tab w:val="left" w:pos="1841"/>
          <w:tab w:val="left" w:pos="3100"/>
          <w:tab w:val="left" w:pos="12331"/>
        </w:tabs>
        <w:ind w:left="-285"/>
        <w:jc w:val="center"/>
        <w:rPr>
          <w:rFonts w:ascii="仿宋" w:hAnsi="仿宋" w:eastAsia="仿宋"/>
          <w:color w:val="auto"/>
          <w:szCs w:val="32"/>
        </w:rPr>
      </w:pPr>
      <w:r>
        <w:rPr>
          <w:rFonts w:hint="eastAsia" w:ascii="宋体" w:hAnsi="宋体" w:cs="仿宋_GB2312"/>
          <w:b/>
          <w:bCs/>
          <w:color w:val="auto"/>
          <w:kern w:val="0"/>
          <w:szCs w:val="32"/>
        </w:rPr>
        <w:t>广东省水运工程监理企业信用行为评定标准（履约行为）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612"/>
        <w:gridCol w:w="1418"/>
        <w:gridCol w:w="8505"/>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评定内容</w:t>
            </w:r>
          </w:p>
        </w:tc>
        <w:tc>
          <w:tcPr>
            <w:tcW w:w="30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行为代码</w:t>
            </w:r>
          </w:p>
        </w:tc>
        <w:tc>
          <w:tcPr>
            <w:tcW w:w="850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失信行为</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仿宋" w:cs="仿宋_GB2312"/>
                <w:color w:val="auto"/>
                <w:sz w:val="18"/>
                <w:szCs w:val="18"/>
              </w:rPr>
              <w:t>履约行为</w:t>
            </w:r>
          </w:p>
          <w:p>
            <w:pPr>
              <w:jc w:val="center"/>
              <w:rPr>
                <w:rFonts w:ascii="仿宋_GB2312" w:hAnsi="仿宋"/>
                <w:color w:val="auto"/>
                <w:sz w:val="18"/>
                <w:szCs w:val="18"/>
              </w:rPr>
            </w:pPr>
            <w:r>
              <w:rPr>
                <w:rFonts w:hint="eastAsia" w:ascii="仿宋_GB2312" w:hAnsi="仿宋" w:cs="仿宋_GB2312"/>
                <w:color w:val="auto"/>
                <w:sz w:val="18"/>
                <w:szCs w:val="18"/>
              </w:rPr>
              <w:t>（满分</w:t>
            </w:r>
            <w:r>
              <w:rPr>
                <w:rFonts w:ascii="仿宋_GB2312" w:hAnsi="仿宋" w:cs="仿宋_GB2312"/>
                <w:color w:val="auto"/>
                <w:sz w:val="18"/>
                <w:szCs w:val="18"/>
              </w:rPr>
              <w:t>70</w:t>
            </w:r>
            <w:r>
              <w:rPr>
                <w:rFonts w:hint="eastAsia" w:ascii="仿宋_GB2312" w:hAnsi="仿宋" w:cs="仿宋_GB2312"/>
                <w:color w:val="auto"/>
                <w:sz w:val="18"/>
                <w:szCs w:val="18"/>
              </w:rPr>
              <w:t>分，扣完为止）</w:t>
            </w: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宋体" w:cs="仿宋_GB2312"/>
                <w:color w:val="auto"/>
                <w:kern w:val="0"/>
                <w:sz w:val="18"/>
                <w:szCs w:val="18"/>
              </w:rPr>
              <w:t>驻地建设与管理制度（满分</w:t>
            </w:r>
            <w:r>
              <w:rPr>
                <w:rFonts w:ascii="仿宋_GB2312" w:hAnsi="宋体" w:cs="仿宋_GB2312"/>
                <w:color w:val="auto"/>
                <w:kern w:val="0"/>
                <w:sz w:val="18"/>
                <w:szCs w:val="18"/>
              </w:rPr>
              <w:t>5</w:t>
            </w:r>
            <w:r>
              <w:rPr>
                <w:rFonts w:hint="eastAsia" w:ascii="仿宋_GB2312" w:hAnsi="宋体" w:cs="仿宋_GB2312"/>
                <w:color w:val="auto"/>
                <w:kern w:val="0"/>
                <w:sz w:val="18"/>
                <w:szCs w:val="18"/>
              </w:rPr>
              <w:t>分，</w:t>
            </w:r>
            <w:r>
              <w:rPr>
                <w:rFonts w:hint="eastAsia" w:ascii="仿宋_GB2312" w:hAnsi="仿宋" w:cs="仿宋_GB2312"/>
                <w:color w:val="auto"/>
                <w:sz w:val="18"/>
                <w:szCs w:val="18"/>
              </w:rPr>
              <w:t>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SYJL2-3-1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总监办无监理合同文件或合同文件不全或监理人员证书不全（包括身份证、学历证、职称证、从业资格证等复印件）的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SYJL2-3-2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总监办、驻地办建设不满足投标承诺或工作需要的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SYJL2-3-3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监理中心试验室没有按照投标承诺配备或不满足试验检测工作需要</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2</w:t>
            </w:r>
            <w:r>
              <w:rPr>
                <w:rFonts w:hint="eastAsia" w:ascii="仿宋_GB2312" w:hAnsi="宋体" w:cs="仿宋_GB2312"/>
                <w:color w:val="auto"/>
                <w:kern w:val="0"/>
                <w:sz w:val="18"/>
                <w:szCs w:val="18"/>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SYJL2-3-4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质量责任制度、安全生产管理制度、廉政制度以及其他主要制度未建立或不全的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宋体" w:cs="仿宋_GB2312"/>
                <w:color w:val="auto"/>
                <w:kern w:val="0"/>
                <w:sz w:val="18"/>
                <w:szCs w:val="18"/>
              </w:rPr>
              <w:t>一般工作情况（满分</w:t>
            </w:r>
            <w:r>
              <w:rPr>
                <w:rFonts w:ascii="仿宋_GB2312" w:hAnsi="宋体" w:cs="仿宋_GB2312"/>
                <w:color w:val="auto"/>
                <w:kern w:val="0"/>
                <w:sz w:val="18"/>
                <w:szCs w:val="18"/>
              </w:rPr>
              <w:t>10</w:t>
            </w:r>
            <w:r>
              <w:rPr>
                <w:rFonts w:hint="eastAsia" w:ascii="仿宋_GB2312" w:hAnsi="宋体" w:cs="仿宋_GB2312"/>
                <w:color w:val="auto"/>
                <w:kern w:val="0"/>
                <w:sz w:val="18"/>
                <w:szCs w:val="18"/>
              </w:rPr>
              <w:t>分，</w:t>
            </w:r>
            <w:r>
              <w:rPr>
                <w:rFonts w:hint="eastAsia" w:ascii="仿宋_GB2312" w:hAnsi="仿宋" w:cs="仿宋_GB2312"/>
                <w:color w:val="auto"/>
                <w:sz w:val="18"/>
                <w:szCs w:val="18"/>
              </w:rPr>
              <w:t>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单位、分部和分项工程（单元）划分不符合规范要求或不合理的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工地会议无故不按时召开或工地会议无记录的</w:t>
            </w:r>
          </w:p>
        </w:tc>
        <w:tc>
          <w:tcPr>
            <w:tcW w:w="1984" w:type="dxa"/>
            <w:tcBorders>
              <w:top w:val="single" w:color="auto" w:sz="4" w:space="0"/>
              <w:left w:val="single" w:color="auto" w:sz="4" w:space="0"/>
              <w:bottom w:val="single" w:color="auto" w:sz="4" w:space="0"/>
              <w:right w:val="single" w:color="auto" w:sz="4" w:space="0"/>
            </w:tcBorders>
            <w:vAlign w:val="top"/>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《监理月报》不按时编发或主要内容不全的</w:t>
            </w:r>
          </w:p>
        </w:tc>
        <w:tc>
          <w:tcPr>
            <w:tcW w:w="1984" w:type="dxa"/>
            <w:tcBorders>
              <w:top w:val="single" w:color="auto" w:sz="4" w:space="0"/>
              <w:left w:val="single" w:color="auto" w:sz="4" w:space="0"/>
              <w:bottom w:val="single" w:color="auto" w:sz="4" w:space="0"/>
              <w:right w:val="single" w:color="auto" w:sz="4" w:space="0"/>
            </w:tcBorders>
            <w:vAlign w:val="top"/>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《监理日记》记录内容不真实或重要内容未记录的</w:t>
            </w:r>
          </w:p>
        </w:tc>
        <w:tc>
          <w:tcPr>
            <w:tcW w:w="1984" w:type="dxa"/>
            <w:tcBorders>
              <w:top w:val="single" w:color="auto" w:sz="4" w:space="0"/>
              <w:left w:val="single" w:color="auto" w:sz="4" w:space="0"/>
              <w:bottom w:val="single" w:color="auto" w:sz="4" w:space="0"/>
              <w:right w:val="single" w:color="auto" w:sz="4" w:space="0"/>
            </w:tcBorders>
            <w:vAlign w:val="top"/>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SYJL2-4-5</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《监理规划》和《监理实施细则》不具有针对性、可操作性或编制不及时的</w:t>
            </w:r>
          </w:p>
        </w:tc>
        <w:tc>
          <w:tcPr>
            <w:tcW w:w="1984" w:type="dxa"/>
            <w:tcBorders>
              <w:top w:val="single" w:color="auto" w:sz="4" w:space="0"/>
              <w:left w:val="single" w:color="auto" w:sz="4" w:space="0"/>
              <w:bottom w:val="single" w:color="auto" w:sz="4" w:space="0"/>
              <w:right w:val="single" w:color="auto" w:sz="4" w:space="0"/>
            </w:tcBorders>
            <w:vAlign w:val="top"/>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SYJL2-4-6</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监理档案资料分类不清晰、归档不及时、不完整或保管不完善的</w:t>
            </w:r>
          </w:p>
        </w:tc>
        <w:tc>
          <w:tcPr>
            <w:tcW w:w="1984" w:type="dxa"/>
            <w:tcBorders>
              <w:top w:val="single" w:color="auto" w:sz="4" w:space="0"/>
              <w:left w:val="single" w:color="auto" w:sz="4" w:space="0"/>
              <w:bottom w:val="single" w:color="auto" w:sz="4" w:space="0"/>
              <w:right w:val="single" w:color="auto" w:sz="4" w:space="0"/>
            </w:tcBorders>
            <w:vAlign w:val="top"/>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SYJL2-4-7</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不按时向质量监督部门、建设单位报送有关资料的</w:t>
            </w:r>
          </w:p>
        </w:tc>
        <w:tc>
          <w:tcPr>
            <w:tcW w:w="1984" w:type="dxa"/>
            <w:tcBorders>
              <w:top w:val="single" w:color="auto" w:sz="4" w:space="0"/>
              <w:left w:val="single" w:color="auto" w:sz="4" w:space="0"/>
              <w:bottom w:val="single" w:color="auto" w:sz="4" w:space="0"/>
              <w:right w:val="single" w:color="auto" w:sz="4" w:space="0"/>
            </w:tcBorders>
            <w:vAlign w:val="top"/>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仿宋" w:cs="仿宋_GB2312"/>
                <w:color w:val="auto"/>
                <w:sz w:val="18"/>
                <w:szCs w:val="18"/>
              </w:rPr>
              <w:t>/</w:t>
            </w:r>
            <w:r>
              <w:rPr>
                <w:rFonts w:hint="eastAsia" w:ascii="仿宋_GB2312" w:hAnsi="仿宋" w:cs="仿宋_GB2312"/>
                <w:color w:val="auto"/>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6"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SYJL2-4-8</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未审批承包人质量保证体系或质量负责人，或审批的承包人质量保证体系、质量负责人不符合规范、合同要求的，每有一个施工合同扣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分；审批不全，未审批质检员、试验人员的，扣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分；未检查工地试验室或试验检测仪器设备配备不到位的，扣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分；未进行动态管理或管理不到位，导致质量保证体系再出现不符合合同要求情况的，扣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SYJL2-4-9</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签认的开工报告，无质量、安全、环保措施，或措施不可行、不可靠的，每次扣</w:t>
            </w:r>
            <w:r>
              <w:rPr>
                <w:rFonts w:ascii="仿宋_GB2312" w:hAnsi="宋体" w:cs="仿宋_GB2312"/>
                <w:color w:val="auto"/>
                <w:kern w:val="0"/>
                <w:sz w:val="18"/>
                <w:szCs w:val="18"/>
              </w:rPr>
              <w:t>2</w:t>
            </w:r>
            <w:r>
              <w:rPr>
                <w:rFonts w:hint="eastAsia" w:ascii="仿宋_GB2312" w:hAnsi="宋体" w:cs="仿宋_GB2312"/>
                <w:color w:val="auto"/>
                <w:kern w:val="0"/>
                <w:sz w:val="18"/>
                <w:szCs w:val="18"/>
              </w:rPr>
              <w:t>分；经签认的开工报告资料不全的，每次扣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分；由于监理原因，有开工报告未经审批先施工的，每次扣4分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～4分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SYJL2-4-10</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对各级单位检查发现问题未及时整改的或整改不到位的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w:t>
            </w:r>
            <w:r>
              <w:rPr>
                <w:rFonts w:ascii="仿宋_GB2312" w:hAnsi="宋体" w:cs="仿宋_GB2312"/>
                <w:color w:val="auto"/>
                <w:kern w:val="0"/>
                <w:sz w:val="18"/>
                <w:szCs w:val="18"/>
              </w:rPr>
              <w:t>3</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p>
            <w:pPr>
              <w:jc w:val="center"/>
              <w:rPr>
                <w:rFonts w:ascii="仿宋_GB2312" w:hAnsi="宋体"/>
                <w:color w:val="auto"/>
                <w:kern w:val="0"/>
                <w:sz w:val="18"/>
                <w:szCs w:val="18"/>
              </w:rPr>
            </w:pPr>
            <w:r>
              <w:rPr>
                <w:rFonts w:hint="eastAsia" w:ascii="仿宋_GB2312" w:hAnsi="宋体" w:cs="仿宋_GB2312"/>
                <w:color w:val="auto"/>
                <w:kern w:val="0"/>
                <w:sz w:val="18"/>
                <w:szCs w:val="18"/>
              </w:rPr>
              <w:t>（视情节严重程度）</w:t>
            </w:r>
          </w:p>
        </w:tc>
      </w:tr>
    </w:tbl>
    <w:p>
      <w:pPr>
        <w:tabs>
          <w:tab w:val="left" w:pos="1473"/>
          <w:tab w:val="left" w:pos="3085"/>
          <w:tab w:val="left" w:pos="4503"/>
          <w:tab w:val="left" w:pos="13008"/>
        </w:tabs>
        <w:ind w:left="288"/>
        <w:jc w:val="center"/>
        <w:rPr>
          <w:rFonts w:ascii="仿宋_GB2312" w:hAnsi="宋体"/>
          <w:color w:val="auto"/>
          <w:kern w:val="0"/>
          <w:sz w:val="18"/>
          <w:szCs w:val="18"/>
        </w:rPr>
      </w:pPr>
      <w:r>
        <w:rPr>
          <w:rFonts w:hint="eastAsia" w:ascii="宋体" w:hAnsi="宋体" w:cs="仿宋_GB2312"/>
          <w:b/>
          <w:bCs/>
          <w:color w:val="auto"/>
          <w:kern w:val="0"/>
          <w:szCs w:val="32"/>
        </w:rPr>
        <w:t>广东省水运工程监理企业信用行为评定标准（履约行为）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612"/>
        <w:gridCol w:w="1418"/>
        <w:gridCol w:w="8505"/>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评定内容</w:t>
            </w:r>
          </w:p>
        </w:tc>
        <w:tc>
          <w:tcPr>
            <w:tcW w:w="303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行为代码</w:t>
            </w:r>
          </w:p>
        </w:tc>
        <w:tc>
          <w:tcPr>
            <w:tcW w:w="850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失信行为</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b/>
                <w:bCs/>
                <w:color w:val="auto"/>
                <w:sz w:val="18"/>
                <w:szCs w:val="18"/>
              </w:rPr>
            </w:pPr>
            <w:r>
              <w:rPr>
                <w:rFonts w:hint="eastAsia" w:ascii="仿宋_GB2312" w:hAnsi="仿宋" w:cs="仿宋_GB2312"/>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仿宋" w:cs="仿宋_GB2312"/>
                <w:color w:val="auto"/>
                <w:sz w:val="18"/>
                <w:szCs w:val="18"/>
              </w:rPr>
              <w:t>履约行为</w:t>
            </w:r>
          </w:p>
          <w:p>
            <w:pPr>
              <w:jc w:val="center"/>
              <w:rPr>
                <w:rFonts w:ascii="仿宋_GB2312" w:hAnsi="仿宋"/>
                <w:color w:val="auto"/>
                <w:sz w:val="18"/>
                <w:szCs w:val="18"/>
              </w:rPr>
            </w:pPr>
            <w:r>
              <w:rPr>
                <w:rFonts w:hint="eastAsia" w:ascii="仿宋_GB2312" w:hAnsi="仿宋" w:cs="仿宋_GB2312"/>
                <w:color w:val="auto"/>
                <w:sz w:val="18"/>
                <w:szCs w:val="18"/>
              </w:rPr>
              <w:t>（满分</w:t>
            </w:r>
            <w:r>
              <w:rPr>
                <w:rFonts w:ascii="仿宋_GB2312" w:hAnsi="仿宋" w:cs="仿宋_GB2312"/>
                <w:color w:val="auto"/>
                <w:sz w:val="18"/>
                <w:szCs w:val="18"/>
              </w:rPr>
              <w:t>70</w:t>
            </w:r>
            <w:r>
              <w:rPr>
                <w:rFonts w:hint="eastAsia" w:ascii="仿宋_GB2312" w:hAnsi="仿宋" w:cs="仿宋_GB2312"/>
                <w:color w:val="auto"/>
                <w:sz w:val="18"/>
                <w:szCs w:val="18"/>
              </w:rPr>
              <w:t>分，扣完为止）</w:t>
            </w: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宋体" w:cs="仿宋_GB2312"/>
                <w:color w:val="auto"/>
                <w:kern w:val="0"/>
                <w:sz w:val="18"/>
                <w:szCs w:val="18"/>
              </w:rPr>
              <w:t>材料、工序（含工程实体）抽检情况（满分</w:t>
            </w:r>
            <w:r>
              <w:rPr>
                <w:rFonts w:ascii="仿宋_GB2312" w:hAnsi="宋体" w:cs="仿宋_GB2312"/>
                <w:color w:val="auto"/>
                <w:kern w:val="0"/>
                <w:sz w:val="18"/>
                <w:szCs w:val="18"/>
              </w:rPr>
              <w:t>15</w:t>
            </w:r>
            <w:r>
              <w:rPr>
                <w:rFonts w:hint="eastAsia" w:ascii="仿宋_GB2312" w:hAnsi="宋体" w:cs="仿宋_GB2312"/>
                <w:color w:val="auto"/>
                <w:kern w:val="0"/>
                <w:sz w:val="18"/>
                <w:szCs w:val="18"/>
              </w:rPr>
              <w:t>分，</w:t>
            </w:r>
            <w:r>
              <w:rPr>
                <w:rFonts w:hint="eastAsia" w:ascii="仿宋_GB2312" w:hAnsi="仿宋" w:cs="仿宋_GB2312"/>
                <w:color w:val="auto"/>
                <w:sz w:val="18"/>
                <w:szCs w:val="18"/>
              </w:rPr>
              <w:t>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验证试验和抽样试验频率未达到规定频率低限的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hint="eastAsia" w:ascii="仿宋_GB2312" w:hAnsi="宋体" w:cs="仿宋_GB2312"/>
                <w:color w:val="auto"/>
                <w:kern w:val="0"/>
                <w:sz w:val="18"/>
                <w:szCs w:val="18"/>
              </w:rPr>
              <w:t>3分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对标准试验未按规定独立进行平行复核（对比）试验的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工艺试验未按规定审批，但已开始规模施工的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hint="eastAsia" w:ascii="仿宋_GB2312" w:hAnsi="宋体" w:cs="仿宋_GB2312"/>
                <w:color w:val="auto"/>
                <w:kern w:val="0"/>
                <w:sz w:val="18"/>
                <w:szCs w:val="18"/>
              </w:rPr>
              <w:t>3分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工序抽检覆盖率、抽检频率不符合规范要求或不满足质量评定要求的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2</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SYJL2-5-5</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仿宋"/>
                <w:color w:val="auto"/>
                <w:sz w:val="18"/>
                <w:szCs w:val="18"/>
              </w:rPr>
            </w:pPr>
            <w:r>
              <w:rPr>
                <w:rFonts w:hint="eastAsia" w:ascii="仿宋_GB2312" w:hAnsi="宋体" w:cs="仿宋_GB2312"/>
                <w:color w:val="auto"/>
                <w:kern w:val="0"/>
                <w:sz w:val="18"/>
                <w:szCs w:val="18"/>
              </w:rPr>
              <w:t>填写不规范、签字不全或随意代签、台帐不全的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SYJL2-5-6</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仿宋"/>
                <w:color w:val="auto"/>
                <w:sz w:val="18"/>
                <w:szCs w:val="18"/>
              </w:rPr>
            </w:pPr>
            <w:r>
              <w:rPr>
                <w:rFonts w:hint="eastAsia" w:ascii="仿宋_GB2312" w:hAnsi="宋体" w:cs="仿宋_GB2312"/>
                <w:color w:val="auto"/>
                <w:kern w:val="0"/>
                <w:sz w:val="18"/>
                <w:szCs w:val="18"/>
              </w:rPr>
              <w:t>原始数据不全或无相关人员签认的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SYJL2-5-7</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仿宋"/>
                <w:color w:val="auto"/>
                <w:sz w:val="18"/>
                <w:szCs w:val="18"/>
              </w:rPr>
            </w:pPr>
            <w:r>
              <w:rPr>
                <w:rFonts w:hint="eastAsia" w:ascii="仿宋_GB2312" w:hAnsi="宋体" w:cs="仿宋_GB2312"/>
                <w:color w:val="auto"/>
                <w:kern w:val="0"/>
                <w:sz w:val="18"/>
                <w:szCs w:val="18"/>
              </w:rPr>
              <w:t>有假数据、假资料的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宋体" w:cs="仿宋_GB2312"/>
                <w:color w:val="auto"/>
                <w:kern w:val="0"/>
                <w:sz w:val="18"/>
                <w:szCs w:val="18"/>
              </w:rPr>
              <w:t>5分</w:t>
            </w:r>
            <w:r>
              <w:rPr>
                <w:rFonts w:ascii="仿宋_GB2312" w:hAnsi="宋体" w:cs="仿宋_GB2312"/>
                <w:color w:val="auto"/>
                <w:kern w:val="0"/>
                <w:sz w:val="18"/>
                <w:szCs w:val="18"/>
              </w:rPr>
              <w:t>/</w:t>
            </w:r>
            <w:r>
              <w:rPr>
                <w:rFonts w:hint="eastAsia" w:ascii="仿宋_GB2312" w:hAnsi="宋体" w:cs="仿宋_GB2312"/>
                <w:color w:val="auto"/>
                <w:kern w:val="0"/>
                <w:sz w:val="18"/>
                <w:szCs w:val="18"/>
              </w:rPr>
              <w:t>项次（项指检查指标项，次指检查次数）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SYJL2-5-8</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仿宋"/>
                <w:color w:val="auto"/>
                <w:sz w:val="18"/>
                <w:szCs w:val="18"/>
              </w:rPr>
            </w:pPr>
            <w:r>
              <w:rPr>
                <w:rFonts w:hint="eastAsia" w:ascii="仿宋_GB2312" w:hAnsi="宋体" w:cs="仿宋_GB2312"/>
                <w:color w:val="auto"/>
                <w:kern w:val="0"/>
                <w:sz w:val="18"/>
                <w:szCs w:val="18"/>
              </w:rPr>
              <w:t>将不合格的工程、材料、构件和设备按合格予以签认的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宋体" w:cs="仿宋_GB2312"/>
                <w:color w:val="auto"/>
                <w:kern w:val="0"/>
                <w:sz w:val="18"/>
                <w:szCs w:val="18"/>
              </w:rPr>
              <w:t>5</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SYJL2-5-9</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仿宋"/>
                <w:color w:val="auto"/>
                <w:sz w:val="18"/>
                <w:szCs w:val="18"/>
              </w:rPr>
            </w:pPr>
            <w:r>
              <w:rPr>
                <w:rFonts w:hint="eastAsia" w:ascii="仿宋_GB2312" w:hAnsi="宋体" w:cs="仿宋_GB2312"/>
                <w:color w:val="auto"/>
                <w:kern w:val="0"/>
                <w:sz w:val="18"/>
                <w:szCs w:val="18"/>
              </w:rPr>
              <w:t>未独立进行核验承包人设置的测量控制网点或基线</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宋体" w:cs="仿宋_GB2312"/>
                <w:color w:val="auto"/>
                <w:kern w:val="0"/>
                <w:sz w:val="18"/>
                <w:szCs w:val="18"/>
              </w:rPr>
              <w:t>2</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SYJL2-5-10</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仿宋"/>
                <w:color w:val="auto"/>
                <w:sz w:val="18"/>
                <w:szCs w:val="18"/>
              </w:rPr>
            </w:pPr>
            <w:r>
              <w:rPr>
                <w:rFonts w:hint="eastAsia" w:ascii="仿宋_GB2312" w:hAnsi="宋体" w:cs="仿宋_GB2312"/>
                <w:color w:val="auto"/>
                <w:kern w:val="0"/>
                <w:sz w:val="18"/>
                <w:szCs w:val="18"/>
              </w:rPr>
              <w:t>监理中心试验室不能独立或正常运作的，扣</w:t>
            </w:r>
            <w:r>
              <w:rPr>
                <w:rFonts w:ascii="仿宋_GB2312" w:hAnsi="宋体" w:cs="仿宋_GB2312"/>
                <w:color w:val="auto"/>
                <w:kern w:val="0"/>
                <w:sz w:val="18"/>
                <w:szCs w:val="18"/>
              </w:rPr>
              <w:t>3</w:t>
            </w:r>
            <w:r>
              <w:rPr>
                <w:rFonts w:hint="eastAsia" w:ascii="仿宋_GB2312" w:hAnsi="宋体" w:cs="仿宋_GB2312"/>
                <w:color w:val="auto"/>
                <w:kern w:val="0"/>
                <w:sz w:val="18"/>
                <w:szCs w:val="18"/>
              </w:rPr>
              <w:t>分；超越母体检测机构授权业务范围开展试验检测工作的，每次扣</w:t>
            </w:r>
            <w:r>
              <w:rPr>
                <w:rFonts w:ascii="仿宋_GB2312" w:hAnsi="宋体" w:cs="仿宋_GB2312"/>
                <w:color w:val="auto"/>
                <w:kern w:val="0"/>
                <w:sz w:val="18"/>
                <w:szCs w:val="18"/>
              </w:rPr>
              <w:t>2</w:t>
            </w:r>
            <w:r>
              <w:rPr>
                <w:rFonts w:hint="eastAsia" w:ascii="仿宋_GB2312" w:hAnsi="宋体" w:cs="仿宋_GB2312"/>
                <w:color w:val="auto"/>
                <w:kern w:val="0"/>
                <w:sz w:val="18"/>
                <w:szCs w:val="18"/>
              </w:rPr>
              <w:t>分；用施工设备或人员做试验的，每次扣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分；接受施工委托的，每次扣</w:t>
            </w:r>
            <w:r>
              <w:rPr>
                <w:rFonts w:ascii="仿宋_GB2312" w:hAnsi="宋体" w:cs="仿宋_GB2312"/>
                <w:color w:val="auto"/>
                <w:kern w:val="0"/>
                <w:sz w:val="18"/>
                <w:szCs w:val="18"/>
              </w:rPr>
              <w:t>2</w:t>
            </w:r>
            <w:r>
              <w:rPr>
                <w:rFonts w:hint="eastAsia" w:ascii="仿宋_GB2312" w:hAnsi="宋体" w:cs="仿宋_GB2312"/>
                <w:color w:val="auto"/>
                <w:kern w:val="0"/>
                <w:sz w:val="18"/>
                <w:szCs w:val="18"/>
              </w:rPr>
              <w:t>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w:t>
            </w:r>
            <w:r>
              <w:rPr>
                <w:rFonts w:ascii="仿宋_GB2312" w:hAnsi="宋体" w:cs="仿宋_GB2312"/>
                <w:color w:val="auto"/>
                <w:kern w:val="0"/>
                <w:sz w:val="18"/>
                <w:szCs w:val="18"/>
              </w:rPr>
              <w:t>3</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hint="eastAsia" w:ascii="仿宋_GB2312" w:hAnsi="宋体" w:cs="仿宋_GB2312"/>
                <w:color w:val="auto"/>
                <w:kern w:val="0"/>
                <w:sz w:val="18"/>
                <w:szCs w:val="18"/>
              </w:rPr>
              <w:t>旁站、巡视、签认情况（满分</w:t>
            </w:r>
            <w:r>
              <w:rPr>
                <w:rFonts w:ascii="仿宋_GB2312" w:hAnsi="宋体" w:cs="仿宋_GB2312"/>
                <w:color w:val="auto"/>
                <w:kern w:val="0"/>
                <w:sz w:val="18"/>
                <w:szCs w:val="18"/>
              </w:rPr>
              <w:t>15</w:t>
            </w:r>
            <w:r>
              <w:rPr>
                <w:rFonts w:hint="eastAsia" w:ascii="仿宋_GB2312" w:hAnsi="宋体" w:cs="仿宋_GB2312"/>
                <w:color w:val="auto"/>
                <w:kern w:val="0"/>
                <w:sz w:val="18"/>
                <w:szCs w:val="18"/>
              </w:rPr>
              <w:t>分，</w:t>
            </w:r>
            <w:r>
              <w:rPr>
                <w:rFonts w:hint="eastAsia" w:ascii="仿宋_GB2312" w:hAnsi="仿宋" w:cs="仿宋_GB2312"/>
                <w:color w:val="auto"/>
                <w:sz w:val="18"/>
                <w:szCs w:val="18"/>
              </w:rPr>
              <w:t>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SYJL2-6-1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旁站不到位的，每次扣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分；虽旁站，但对存在的明显问题未发现或未作相应处理的，每次扣3分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～3分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SYJL2-6-2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监理工程师巡视不到位，每次扣</w:t>
            </w:r>
            <w:r>
              <w:rPr>
                <w:rFonts w:ascii="仿宋_GB2312" w:hAnsi="宋体" w:cs="仿宋_GB2312"/>
                <w:color w:val="auto"/>
                <w:kern w:val="0"/>
                <w:sz w:val="18"/>
                <w:szCs w:val="18"/>
              </w:rPr>
              <w:t>1</w:t>
            </w:r>
            <w:r>
              <w:rPr>
                <w:rFonts w:hint="eastAsia" w:ascii="仿宋_GB2312" w:hAnsi="宋体" w:cs="仿宋_GB2312"/>
                <w:color w:val="auto"/>
                <w:kern w:val="0"/>
                <w:sz w:val="18"/>
                <w:szCs w:val="18"/>
              </w:rPr>
              <w:t>分；虽巡视，但对施工中存在的明显问题未能及时发现，或发现了但未及时发出书面指令的，每次扣2分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1</w:t>
            </w:r>
            <w:r>
              <w:rPr>
                <w:rFonts w:hint="eastAsia" w:ascii="仿宋_GB2312" w:hAnsi="宋体" w:cs="仿宋_GB2312"/>
                <w:color w:val="auto"/>
                <w:kern w:val="0"/>
                <w:sz w:val="18"/>
                <w:szCs w:val="18"/>
              </w:rPr>
              <w:t>～</w:t>
            </w:r>
            <w:r>
              <w:rPr>
                <w:rFonts w:ascii="仿宋_GB2312" w:hAnsi="宋体" w:cs="仿宋_GB2312"/>
                <w:color w:val="auto"/>
                <w:kern w:val="0"/>
                <w:sz w:val="18"/>
                <w:szCs w:val="18"/>
              </w:rPr>
              <w:t>2</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SYJL2-6-3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对逾期未按指令要求整改或整改不彻底，且未采取进一步有效措施的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hint="eastAsia" w:ascii="仿宋_GB2312" w:hAnsi="宋体" w:cs="仿宋_GB2312"/>
                <w:color w:val="auto"/>
                <w:kern w:val="0"/>
                <w:sz w:val="18"/>
                <w:szCs w:val="18"/>
              </w:rPr>
              <w:t>3分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SYJL2-6-4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对整改结果未作现场检查并签认，或者已按监理指令要求整改但书面资料不闭合的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hint="eastAsia" w:ascii="仿宋_GB2312" w:hAnsi="宋体" w:cs="仿宋_GB2312"/>
                <w:color w:val="auto"/>
                <w:kern w:val="0"/>
                <w:sz w:val="18"/>
                <w:szCs w:val="18"/>
              </w:rPr>
              <w:t>2分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
                <w:color w:val="auto"/>
                <w:sz w:val="18"/>
                <w:szCs w:val="18"/>
              </w:rPr>
            </w:pPr>
            <w:r>
              <w:rPr>
                <w:rFonts w:ascii="仿宋_GB2312" w:hAnsi="仿宋" w:cs="仿宋_GB2312"/>
                <w:color w:val="auto"/>
                <w:sz w:val="18"/>
                <w:szCs w:val="18"/>
              </w:rPr>
              <w:t>SYJL2-6-5</w:t>
            </w:r>
          </w:p>
        </w:tc>
        <w:tc>
          <w:tcPr>
            <w:tcW w:w="8505" w:type="dxa"/>
            <w:tcBorders>
              <w:top w:val="single" w:color="auto" w:sz="4" w:space="0"/>
              <w:left w:val="single" w:color="auto" w:sz="4" w:space="0"/>
              <w:bottom w:val="single" w:color="auto" w:sz="4" w:space="0"/>
              <w:right w:val="single" w:color="auto" w:sz="4" w:space="0"/>
            </w:tcBorders>
            <w:vAlign w:val="center"/>
          </w:tcPr>
          <w:p>
            <w:pPr>
              <w:rPr>
                <w:rFonts w:ascii="仿宋_GB2312" w:hAnsi="宋体"/>
                <w:color w:val="auto"/>
                <w:kern w:val="0"/>
                <w:sz w:val="18"/>
                <w:szCs w:val="18"/>
              </w:rPr>
            </w:pPr>
            <w:r>
              <w:rPr>
                <w:rFonts w:hint="eastAsia" w:ascii="仿宋_GB2312" w:hAnsi="宋体" w:cs="仿宋_GB2312"/>
                <w:color w:val="auto"/>
                <w:kern w:val="0"/>
                <w:sz w:val="18"/>
                <w:szCs w:val="18"/>
              </w:rPr>
              <w:t>关键工序由非持部证监理工程师签认的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color w:val="auto"/>
                <w:kern w:val="0"/>
                <w:sz w:val="18"/>
                <w:szCs w:val="18"/>
              </w:rPr>
            </w:pPr>
            <w:r>
              <w:rPr>
                <w:rFonts w:ascii="仿宋_GB2312" w:hAnsi="宋体" w:cs="仿宋_GB2312"/>
                <w:color w:val="auto"/>
                <w:kern w:val="0"/>
                <w:sz w:val="18"/>
                <w:szCs w:val="18"/>
              </w:rPr>
              <w:t>3</w:t>
            </w:r>
            <w:r>
              <w:rPr>
                <w:rFonts w:hint="eastAsia" w:ascii="仿宋_GB2312" w:hAnsi="宋体" w:cs="仿宋_GB2312"/>
                <w:color w:val="auto"/>
                <w:kern w:val="0"/>
                <w:sz w:val="18"/>
                <w:szCs w:val="18"/>
              </w:rPr>
              <w:t>分</w:t>
            </w:r>
            <w:r>
              <w:rPr>
                <w:rFonts w:ascii="仿宋_GB2312" w:hAnsi="宋体" w:cs="仿宋_GB2312"/>
                <w:color w:val="auto"/>
                <w:kern w:val="0"/>
                <w:sz w:val="18"/>
                <w:szCs w:val="18"/>
              </w:rPr>
              <w:t>/</w:t>
            </w:r>
            <w:r>
              <w:rPr>
                <w:rFonts w:hint="eastAsia" w:ascii="仿宋_GB2312" w:hAnsi="宋体" w:cs="仿宋_GB2312"/>
                <w:color w:val="auto"/>
                <w:kern w:val="0"/>
                <w:sz w:val="18"/>
                <w:szCs w:val="18"/>
              </w:rPr>
              <w:t>次</w:t>
            </w:r>
          </w:p>
        </w:tc>
      </w:tr>
    </w:tbl>
    <w:p>
      <w:pPr>
        <w:tabs>
          <w:tab w:val="left" w:pos="1473"/>
          <w:tab w:val="left" w:pos="3085"/>
          <w:tab w:val="left" w:pos="4503"/>
          <w:tab w:val="left" w:pos="13008"/>
        </w:tabs>
        <w:ind w:left="288"/>
        <w:jc w:val="center"/>
        <w:rPr>
          <w:rFonts w:ascii="仿宋_GB2312" w:hAnsi="宋体"/>
          <w:color w:val="auto"/>
          <w:kern w:val="0"/>
          <w:sz w:val="18"/>
          <w:szCs w:val="18"/>
        </w:rPr>
      </w:pPr>
      <w:r>
        <w:rPr>
          <w:rFonts w:hint="eastAsia" w:ascii="宋体" w:hAnsi="宋体" w:cs="仿宋_GB2312"/>
          <w:b/>
          <w:bCs/>
          <w:color w:val="auto"/>
          <w:kern w:val="0"/>
          <w:szCs w:val="32"/>
        </w:rPr>
        <w:t>广东省水运工程监理企业信用行为评定标准（履约行为）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612"/>
        <w:gridCol w:w="1418"/>
        <w:gridCol w:w="8505"/>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3030"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850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8" w:hRule="atLeas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612"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计量支付与合同管理（满分5分，</w:t>
            </w:r>
            <w:r>
              <w:rPr>
                <w:rFonts w:hint="eastAsia" w:ascii="仿宋" w:hAnsi="仿宋" w:eastAsia="仿宋" w:cs="仿宋"/>
                <w:color w:val="auto"/>
                <w:sz w:val="18"/>
                <w:szCs w:val="18"/>
              </w:rPr>
              <w:t>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SYJL2-7-1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资料不完整、签字不齐全尚可弥补的，每次扣1分；基础资料不完整或签字不全，且无法弥补的，每次扣2分；未经授权随意代签的，监理员、专业监理工程师、驻地监理工程师每次分别扣1分、2分、3分；签字造假的，每次扣2分；签认超过规定时限的，第一次扣1分，第二次扣2分，以后每递增一次扣分值递增1分；已签认的工程数量或工程费用存在明显错误的，每次扣2分；经查实，签认的计量支付报表中有虚假材料的，每次扣3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SYJL2-7-2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未按合同规定程序和要求对分包进行审批的，每次扣2分；对承包人违反合同规定转包、分包未及时作相应处理的，每次扣4分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2～4分/次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SYJL2-7-3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工程联系单因监理单位原因处理不及时或造成不闭合情况；对设计变更、工程结算等相关造价文件审核不及时或出现明显错误的，视情节轻重扣1～3分/次</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进度管理（满分5分，</w:t>
            </w:r>
            <w:r>
              <w:rPr>
                <w:rFonts w:hint="eastAsia" w:ascii="仿宋" w:hAnsi="仿宋" w:eastAsia="仿宋" w:cs="仿宋"/>
                <w:color w:val="auto"/>
                <w:sz w:val="18"/>
                <w:szCs w:val="18"/>
              </w:rPr>
              <w:t>扣完为止）</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SYJL2-8-1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无月度施工进度计划审核意见；对施工进度计划出现偏差而没有分析原因提出建议</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SYJL2-8-2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由于监理工作原因，导致受监工程进度滞后：</w:t>
            </w:r>
          </w:p>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①实际工程进度在计划进度控制曲线下限内的，扣1分；</w:t>
            </w:r>
          </w:p>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②在计划进度控制曲线下限以外的，扣2分;</w:t>
            </w:r>
          </w:p>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③工程实际施工期超过合同工期或工程交工日期延误的，扣3分。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安全、环保、廉政执行情况（满分5分，</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SYJL2-9-1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安全、环保技术措施无监理审批签证的，每次扣1分；安全生产费用审核不严格，每次扣2分；现场存在重大安全隐患或环保工作不到位,监理未按程序办理的，每次扣3分；安全事故无记录档案的，每次扣5分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SYJL2-9-2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在环保事件中负有责任的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1～5分/次（视事故严重程度和责任程度）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SYJL2-9-3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未按要求开展“平安工地”建设活动</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SYJL2-9-4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“平安工地”建设开展情况（项目业主结合有关要求，对监理单位平安工地建设情况评分）</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SYJL2-9-5</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经查实，监理人员有吃拿卡要行为的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sz w:val="18"/>
                <w:szCs w:val="18"/>
              </w:rPr>
              <w:t>2分/人次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SYJL2-9-6</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监理人员有行贿或受贿行为，被有关部门查处的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sz w:val="18"/>
                <w:szCs w:val="18"/>
              </w:rPr>
              <w:t>5分/人次</w:t>
            </w:r>
          </w:p>
        </w:tc>
      </w:tr>
    </w:tbl>
    <w:p>
      <w:pPr>
        <w:tabs>
          <w:tab w:val="left" w:pos="1473"/>
          <w:tab w:val="left" w:pos="3085"/>
          <w:tab w:val="left" w:pos="4503"/>
          <w:tab w:val="left" w:pos="13008"/>
        </w:tabs>
        <w:ind w:left="288"/>
        <w:jc w:val="center"/>
        <w:rPr>
          <w:rFonts w:ascii="仿宋_GB2312" w:hAnsi="宋体"/>
          <w:color w:val="auto"/>
          <w:kern w:val="0"/>
          <w:sz w:val="18"/>
          <w:szCs w:val="18"/>
        </w:rPr>
      </w:pPr>
      <w:r>
        <w:rPr>
          <w:rFonts w:hint="eastAsia" w:ascii="宋体" w:hAnsi="宋体" w:cs="仿宋_GB2312"/>
          <w:b/>
          <w:bCs/>
          <w:color w:val="auto"/>
          <w:kern w:val="0"/>
          <w:szCs w:val="32"/>
        </w:rPr>
        <w:t>广东省水运工程监理企业信用行为评定标准（其他信用行为）</w:t>
      </w:r>
    </w:p>
    <w:tbl>
      <w:tblPr>
        <w:tblStyle w:val="6"/>
        <w:tblW w:w="14704" w:type="dxa"/>
        <w:jc w:val="center"/>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612"/>
        <w:gridCol w:w="1418"/>
        <w:gridCol w:w="8505"/>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3030"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850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其它行为-失信行为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（满分15分，在总分中扣除，扣完为止）</w:t>
            </w:r>
          </w:p>
        </w:tc>
        <w:tc>
          <w:tcPr>
            <w:tcW w:w="1612"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SYJL3-1-1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被司法机关认定有行贿、受贿行为，并构成犯罪</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SYJL3-1-2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在申请资质许可、定期检验、资质复查及变更等过程中采用弄虚作假等手段获取监理资质的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SYJL3-1-3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违法分包、转包工程监理工作，被查证属实的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SYJL3-1-4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由于单位自身原因，应参加信用评价但未按要求提交相关评价资料申请参加信用评价的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被省级以上交通运输主管部门或</w:t>
            </w:r>
            <w:r>
              <w:rPr>
                <w:rFonts w:hint="eastAsia" w:ascii="仿宋" w:hAnsi="仿宋" w:eastAsia="仿宋" w:cs="仿宋"/>
                <w:color w:val="auto"/>
                <w:kern w:val="0"/>
                <w:sz w:val="18"/>
                <w:szCs w:val="18"/>
              </w:rPr>
              <w:t>质量监督机构</w:t>
            </w:r>
            <w:r>
              <w:rPr>
                <w:rFonts w:hint="eastAsia" w:ascii="仿宋" w:hAnsi="仿宋" w:eastAsia="仿宋" w:cs="仿宋"/>
                <w:color w:val="auto"/>
                <w:sz w:val="18"/>
                <w:szCs w:val="18"/>
              </w:rPr>
              <w:t>通报批评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被地级以上市交通运输（港口）主管部门、质量监督机构或相关部门通报批评的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SYJL3-2-3</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省级及以上交通运输主管部门要求企业填报向社会公布的信息，企业未填报或填报的信息存在虚假的；或</w:t>
            </w:r>
            <w:r>
              <w:rPr>
                <w:rFonts w:hint="eastAsia" w:ascii="仿宋" w:hAnsi="仿宋" w:eastAsia="仿宋" w:cs="仿宋"/>
                <w:color w:val="auto"/>
                <w:sz w:val="18"/>
                <w:szCs w:val="18"/>
              </w:rPr>
              <w:t>未按规定填报或变更信用信息</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填报或变更信用信息存在造假行为</w:t>
            </w:r>
            <w:r>
              <w:rPr>
                <w:rFonts w:hint="eastAsia" w:ascii="仿宋" w:hAnsi="仿宋" w:eastAsia="仿宋" w:cs="仿宋"/>
                <w:color w:val="auto"/>
                <w:kern w:val="0"/>
                <w:sz w:val="18"/>
                <w:szCs w:val="18"/>
              </w:rPr>
              <w:t>；弄虚作假或以不正当手段骗取较高信用等级</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SYJL3-2-5</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进行虚假投诉</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SYJL3-2-6</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恶意拖欠监理人员工资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SYJL3-2-7</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恶意扣压监理人员的监理工程师或专业监理工程师资格证书的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SYJL3-2-8</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因在我省水运工程质量和安全生产的违法违规行为，被交通运输部予以信息公开的；或因工程建设质量安全等问题被列入省级工程质量安全重要事项阳光公开目录并予以信息公开的</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扣2～5分/次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SYJL3-2-9</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评价年度内，在我省水运工程建设项目的监理从业单位，所监理项目发生安全生产责任事故的，扣0.5分×事故起数×死亡人数；所监理项目发生非责任事故的，扣0.2分×事故起数×死亡人数。（人员伤亡数量以省交通运输厅生产安全事故统计信息为准，事故类型以安全生产事故调查报告或事故调查处理单位有关证明为准，自然灾害造成的伤亡情况除外</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 xml:space="preserve">扣0.5分或0.2分×事故起数×死亡人数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SYJL3-2-10</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承担的工程未批先建或设计变更未批先干，未提出书面警示意见</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185"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12" w:type="dxa"/>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SYJL3-2-11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2797" w:type="dxa"/>
            <w:gridSpan w:val="2"/>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其他行为-良好信誉行为</w:t>
            </w: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SYJL4-1-1</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评价年度内，企业在抢险救灾、应急保障、国防战备等任务中受到省部级以上行政机关表彰</w:t>
            </w:r>
          </w:p>
        </w:tc>
        <w:tc>
          <w:tcPr>
            <w:tcW w:w="198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1分/次（项），累计加分不超过3分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2797"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SYJL4-1-2</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评价年度内，所监理的水运工程建设项目获得国家科技进步奖（二等奖以上）、国家优质工程奖、詹天佑奖、鲁班奖</w:t>
            </w:r>
          </w:p>
        </w:tc>
        <w:tc>
          <w:tcPr>
            <w:tcW w:w="198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2797"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SYJL4-1-3</w:t>
            </w:r>
          </w:p>
        </w:tc>
        <w:tc>
          <w:tcPr>
            <w:tcW w:w="8505" w:type="dxa"/>
            <w:tcBorders>
              <w:top w:val="single" w:color="auto" w:sz="4" w:space="0"/>
              <w:left w:val="single" w:color="auto" w:sz="4" w:space="0"/>
              <w:bottom w:val="single" w:color="auto" w:sz="4" w:space="0"/>
              <w:right w:val="single" w:color="auto" w:sz="4" w:space="0"/>
            </w:tcBorders>
            <w:vAlign w:val="center"/>
          </w:tcPr>
          <w:p>
            <w:pPr>
              <w:overflowPunct w:val="0"/>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参加建设单位组织的抢险救灾，0.2分/次，最高限值0.6分；</w:t>
            </w:r>
          </w:p>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参加抢险救灾，并经地级以上市交通等行政主管部门认可的，</w:t>
            </w:r>
            <w:r>
              <w:rPr>
                <w:rFonts w:hint="eastAsia" w:ascii="仿宋" w:hAnsi="仿宋" w:eastAsia="仿宋" w:cs="仿宋"/>
                <w:color w:val="auto"/>
                <w:sz w:val="18"/>
                <w:szCs w:val="18"/>
              </w:rPr>
              <w:t>0.5</w:t>
            </w:r>
            <w:r>
              <w:rPr>
                <w:rFonts w:hint="eastAsia" w:ascii="仿宋" w:hAnsi="仿宋" w:eastAsia="仿宋" w:cs="仿宋"/>
                <w:color w:val="auto"/>
                <w:kern w:val="0"/>
                <w:sz w:val="18"/>
                <w:szCs w:val="18"/>
              </w:rPr>
              <w:t>分/次，最高限值1分</w:t>
            </w:r>
          </w:p>
        </w:tc>
        <w:tc>
          <w:tcPr>
            <w:tcW w:w="198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0.2</w:t>
            </w:r>
            <w:r>
              <w:rPr>
                <w:rFonts w:hint="eastAsia" w:ascii="仿宋" w:hAnsi="仿宋" w:eastAsia="仿宋" w:cs="仿宋"/>
                <w:color w:val="auto"/>
                <w:kern w:val="0"/>
                <w:sz w:val="18"/>
                <w:szCs w:val="18"/>
              </w:rPr>
              <w:t>～</w:t>
            </w:r>
            <w:r>
              <w:rPr>
                <w:rFonts w:hint="eastAsia" w:ascii="仿宋" w:hAnsi="仿宋" w:eastAsia="仿宋" w:cs="仿宋"/>
                <w:color w:val="auto"/>
                <w:sz w:val="18"/>
                <w:szCs w:val="18"/>
              </w:rPr>
              <w:t>1</w:t>
            </w:r>
            <w:r>
              <w:rPr>
                <w:rFonts w:hint="eastAsia" w:ascii="仿宋" w:hAnsi="仿宋" w:eastAsia="仿宋" w:cs="仿宋"/>
                <w:color w:val="auto"/>
                <w:kern w:val="0"/>
                <w:sz w:val="18"/>
                <w:szCs w:val="18"/>
              </w:rPr>
              <w:t>分/次，累计加分不超过2分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2797"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SYJL4-1-4</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获得地级以上市交通运输主管部门通报表彰，0.5分/次</w:t>
            </w:r>
          </w:p>
        </w:tc>
        <w:tc>
          <w:tcPr>
            <w:tcW w:w="198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2797"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SYJL4-1-5</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获得省级</w:t>
            </w:r>
            <w:r>
              <w:rPr>
                <w:rFonts w:hint="eastAsia" w:ascii="仿宋" w:hAnsi="仿宋" w:eastAsia="仿宋" w:cs="仿宋"/>
                <w:color w:val="auto"/>
                <w:sz w:val="18"/>
                <w:szCs w:val="18"/>
              </w:rPr>
              <w:t>以上</w:t>
            </w:r>
            <w:r>
              <w:rPr>
                <w:rFonts w:hint="eastAsia" w:ascii="仿宋" w:hAnsi="仿宋" w:eastAsia="仿宋" w:cs="仿宋"/>
                <w:color w:val="auto"/>
                <w:kern w:val="0"/>
                <w:sz w:val="18"/>
                <w:szCs w:val="18"/>
              </w:rPr>
              <w:t>交通运输主管部门通报表彰1分/次</w:t>
            </w:r>
          </w:p>
        </w:tc>
        <w:tc>
          <w:tcPr>
            <w:tcW w:w="198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2797" w:type="dxa"/>
            <w:gridSpan w:val="2"/>
            <w:vMerge w:val="continue"/>
            <w:tcBorders>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SYJL4-1-6</w:t>
            </w:r>
          </w:p>
        </w:tc>
        <w:tc>
          <w:tcPr>
            <w:tcW w:w="8505"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 xml:space="preserve">信用评价年度内，监理从业单位在我省水运工程建设质量安全方面取得突出成绩，列入省级工程质量安全重要事项阳光公开目录并予以信息公开的。 </w:t>
            </w:r>
          </w:p>
        </w:tc>
        <w:tc>
          <w:tcPr>
            <w:tcW w:w="198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 xml:space="preserve">加1分(在企业总分增加，最高限值2分) </w:t>
            </w:r>
          </w:p>
        </w:tc>
      </w:tr>
    </w:tbl>
    <w:p>
      <w:pPr>
        <w:spacing w:line="360" w:lineRule="auto"/>
        <w:rPr>
          <w:rFonts w:ascii="宋体" w:eastAsia="宋体" w:cs="宋体"/>
          <w:color w:val="auto"/>
          <w:sz w:val="24"/>
          <w:szCs w:val="24"/>
        </w:rPr>
      </w:pPr>
      <w:r>
        <w:rPr>
          <w:rFonts w:hint="eastAsia" w:ascii="宋体" w:hAnsi="宋体" w:cs="仿宋_GB2312"/>
          <w:color w:val="auto"/>
          <w:sz w:val="24"/>
          <w:szCs w:val="24"/>
        </w:rPr>
        <w:t>注：</w:t>
      </w:r>
      <w:r>
        <w:rPr>
          <w:rFonts w:ascii="宋体" w:hAnsi="宋体" w:cs="宋体"/>
          <w:color w:val="auto"/>
          <w:sz w:val="24"/>
          <w:szCs w:val="24"/>
        </w:rPr>
        <w:t xml:space="preserve"> 1.</w:t>
      </w:r>
      <w:r>
        <w:rPr>
          <w:rFonts w:hint="eastAsia" w:ascii="宋体" w:hAnsi="宋体" w:cs="仿宋_GB2312"/>
          <w:color w:val="auto"/>
          <w:sz w:val="24"/>
          <w:szCs w:val="24"/>
        </w:rPr>
        <w:t>“其他被认定的失信行为”是指由省级以上交通运输主管部门依据法律法规或其他规定认定的企业其他失信行为。</w:t>
      </w:r>
    </w:p>
    <w:p>
      <w:pPr>
        <w:spacing w:line="360" w:lineRule="auto"/>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 xml:space="preserve">2.SYJL2-1-3 </w:t>
      </w:r>
      <w:r>
        <w:rPr>
          <w:rFonts w:hint="eastAsia" w:ascii="宋体" w:hAnsi="宋体" w:cs="仿宋_GB2312"/>
          <w:color w:val="auto"/>
          <w:sz w:val="24"/>
          <w:szCs w:val="24"/>
        </w:rPr>
        <w:t>、</w:t>
      </w:r>
      <w:r>
        <w:rPr>
          <w:rFonts w:ascii="宋体" w:hAnsi="宋体" w:cs="宋体"/>
          <w:color w:val="auto"/>
          <w:sz w:val="24"/>
          <w:szCs w:val="24"/>
        </w:rPr>
        <w:t>SYJL2-</w:t>
      </w:r>
      <w:r>
        <w:rPr>
          <w:rFonts w:hint="eastAsia" w:ascii="宋体" w:hAnsi="宋体" w:cs="宋体"/>
          <w:color w:val="auto"/>
          <w:sz w:val="24"/>
          <w:szCs w:val="24"/>
        </w:rPr>
        <w:t>1</w:t>
      </w:r>
      <w:r>
        <w:rPr>
          <w:rFonts w:ascii="宋体" w:hAnsi="宋体" w:cs="宋体"/>
          <w:color w:val="auto"/>
          <w:sz w:val="24"/>
          <w:szCs w:val="24"/>
        </w:rPr>
        <w:t>-4</w:t>
      </w:r>
      <w:r>
        <w:rPr>
          <w:rFonts w:hint="eastAsia" w:ascii="宋体" w:hAnsi="宋体" w:cs="仿宋_GB2312"/>
          <w:color w:val="auto"/>
          <w:sz w:val="24"/>
          <w:szCs w:val="24"/>
        </w:rPr>
        <w:t>应依据有关部门的事故调查处理结果认定。质量事故、安全事故的等级划分标准执行《生产安全事故报告和调查处理条例》（国务院第</w:t>
      </w:r>
      <w:r>
        <w:rPr>
          <w:rFonts w:ascii="宋体" w:hAnsi="宋体" w:cs="宋体"/>
          <w:color w:val="auto"/>
          <w:sz w:val="24"/>
          <w:szCs w:val="24"/>
        </w:rPr>
        <w:t>493</w:t>
      </w:r>
      <w:r>
        <w:rPr>
          <w:rFonts w:hint="eastAsia" w:ascii="宋体" w:hAnsi="宋体" w:cs="仿宋_GB2312"/>
          <w:color w:val="auto"/>
          <w:sz w:val="24"/>
          <w:szCs w:val="24"/>
        </w:rPr>
        <w:t>号令）、《</w:t>
      </w:r>
      <w:r>
        <w:rPr>
          <w:rFonts w:hint="eastAsia" w:ascii="宋体" w:hAnsi="宋体" w:cs="仿宋_GB2312"/>
          <w:color w:val="auto"/>
          <w:sz w:val="24"/>
          <w:szCs w:val="24"/>
          <w:lang w:eastAsia="zh-CN"/>
        </w:rPr>
        <w:t>水运</w:t>
      </w:r>
      <w:r>
        <w:rPr>
          <w:rFonts w:hint="eastAsia" w:ascii="宋体" w:hAnsi="宋体" w:cs="仿宋_GB2312"/>
          <w:color w:val="auto"/>
          <w:sz w:val="24"/>
          <w:szCs w:val="24"/>
        </w:rPr>
        <w:t>水运建设工程质量事故等级划分和报告制度》（交办安监〔</w:t>
      </w:r>
      <w:r>
        <w:rPr>
          <w:rFonts w:hint="eastAsia" w:ascii="宋体" w:hAnsi="宋体" w:cs="宋体"/>
          <w:color w:val="auto"/>
          <w:sz w:val="24"/>
          <w:szCs w:val="24"/>
        </w:rPr>
        <w:t>2016</w:t>
      </w:r>
      <w:r>
        <w:rPr>
          <w:rFonts w:hint="eastAsia" w:ascii="宋体" w:hAnsi="宋体" w:cs="仿宋_GB2312"/>
          <w:color w:val="auto"/>
          <w:sz w:val="24"/>
          <w:szCs w:val="24"/>
        </w:rPr>
        <w:t>〕</w:t>
      </w:r>
      <w:r>
        <w:rPr>
          <w:rFonts w:hint="eastAsia" w:ascii="宋体" w:hAnsi="宋体" w:cs="宋体"/>
          <w:color w:val="auto"/>
          <w:sz w:val="24"/>
          <w:szCs w:val="24"/>
        </w:rPr>
        <w:t>146</w:t>
      </w:r>
      <w:r>
        <w:rPr>
          <w:rFonts w:hint="eastAsia" w:ascii="宋体" w:hAnsi="宋体" w:cs="仿宋_GB2312"/>
          <w:color w:val="auto"/>
          <w:sz w:val="24"/>
          <w:szCs w:val="24"/>
        </w:rPr>
        <w:t>号）等。</w:t>
      </w:r>
    </w:p>
    <w:p>
      <w:pPr>
        <w:spacing w:line="360" w:lineRule="auto"/>
        <w:rPr>
          <w:rFonts w:ascii="宋体" w:eastAsia="宋体" w:cs="宋体"/>
          <w:color w:val="auto"/>
          <w:sz w:val="24"/>
          <w:szCs w:val="24"/>
        </w:rPr>
      </w:pPr>
      <w:r>
        <w:rPr>
          <w:rFonts w:ascii="宋体" w:hAnsi="宋体" w:cs="宋体"/>
          <w:color w:val="auto"/>
          <w:sz w:val="24"/>
          <w:szCs w:val="24"/>
        </w:rPr>
        <w:t xml:space="preserve">     3.SYJL3-1-1</w:t>
      </w:r>
      <w:r>
        <w:rPr>
          <w:rFonts w:hint="eastAsia" w:ascii="宋体" w:hAnsi="宋体" w:cs="仿宋_GB2312"/>
          <w:color w:val="auto"/>
          <w:sz w:val="24"/>
          <w:szCs w:val="24"/>
        </w:rPr>
        <w:t>是指在项目所在省份从事水运工程监理活动中发生的单位行贿、受贿行为。</w:t>
      </w:r>
    </w:p>
    <w:p>
      <w:pPr>
        <w:spacing w:line="360" w:lineRule="auto"/>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4.SYJL3-2-1</w:t>
      </w:r>
      <w:r>
        <w:rPr>
          <w:rFonts w:hint="eastAsia" w:ascii="宋体" w:hAnsi="宋体" w:cs="仿宋_GB2312"/>
          <w:color w:val="auto"/>
          <w:sz w:val="24"/>
          <w:szCs w:val="24"/>
        </w:rPr>
        <w:t>、</w:t>
      </w:r>
      <w:r>
        <w:rPr>
          <w:rFonts w:ascii="宋体" w:hAnsi="宋体" w:cs="宋体"/>
          <w:color w:val="auto"/>
          <w:sz w:val="24"/>
          <w:szCs w:val="24"/>
        </w:rPr>
        <w:t>SYJL3-2-2</w:t>
      </w:r>
      <w:r>
        <w:rPr>
          <w:rFonts w:hint="eastAsia" w:ascii="宋体" w:hAnsi="宋体" w:cs="仿宋_GB2312"/>
          <w:color w:val="auto"/>
          <w:sz w:val="24"/>
          <w:szCs w:val="24"/>
        </w:rPr>
        <w:t>当被省级（市级）以上交通运输主管部门、质量监督机构通报批评，涉及到标准中的具体失信行为时，不重复扣分，按“就高不就低”原则执行。</w:t>
      </w:r>
    </w:p>
    <w:p>
      <w:pPr>
        <w:spacing w:line="360" w:lineRule="auto"/>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 xml:space="preserve">5. </w:t>
      </w:r>
      <w:r>
        <w:rPr>
          <w:rFonts w:hint="eastAsia" w:ascii="宋体" w:hAnsi="宋体" w:cs="仿宋_GB2312"/>
          <w:color w:val="auto"/>
          <w:sz w:val="24"/>
          <w:szCs w:val="24"/>
        </w:rPr>
        <w:t>扣分</w:t>
      </w:r>
      <w:r>
        <w:rPr>
          <w:rFonts w:ascii="宋体" w:hAnsi="宋体" w:cs="宋体"/>
          <w:color w:val="auto"/>
          <w:sz w:val="24"/>
          <w:szCs w:val="24"/>
        </w:rPr>
        <w:t xml:space="preserve"> </w:t>
      </w:r>
      <w:r>
        <w:rPr>
          <w:rFonts w:hint="eastAsia" w:ascii="宋体" w:hAnsi="宋体" w:cs="仿宋_GB2312"/>
          <w:color w:val="auto"/>
          <w:sz w:val="24"/>
          <w:szCs w:val="24"/>
        </w:rPr>
        <w:t>“次”是指在评价期内发现的企业失信行为次数。企业失信行为能够整改的，整改期内不重复扣分，整改期满后，未整改或再次发生同一失信行为，可再次扣分；无法整改的，同一事件不重复扣分。</w:t>
      </w:r>
    </w:p>
    <w:p>
      <w:pPr>
        <w:widowControl/>
        <w:ind w:firstLine="640" w:firstLineChars="200"/>
        <w:rPr>
          <w:rFonts w:ascii="仿宋_GB2312" w:hAnsi="宋体"/>
          <w:color w:val="auto"/>
          <w:kern w:val="0"/>
          <w:szCs w:val="32"/>
        </w:rPr>
      </w:pPr>
    </w:p>
    <w:p>
      <w:pPr>
        <w:widowControl/>
        <w:ind w:firstLine="640" w:firstLineChars="200"/>
        <w:rPr>
          <w:rFonts w:ascii="仿宋_GB2312" w:hAnsi="宋体"/>
          <w:color w:val="auto"/>
          <w:kern w:val="0"/>
          <w:szCs w:val="32"/>
        </w:rPr>
      </w:pPr>
    </w:p>
    <w:p>
      <w:pPr>
        <w:widowControl/>
        <w:ind w:firstLine="640" w:firstLineChars="200"/>
        <w:rPr>
          <w:rFonts w:ascii="仿宋_GB2312" w:hAnsi="宋体"/>
          <w:color w:val="auto"/>
          <w:kern w:val="0"/>
          <w:szCs w:val="32"/>
        </w:rPr>
        <w:sectPr>
          <w:pgSz w:w="16838" w:h="11906" w:orient="landscape"/>
          <w:pgMar w:top="607" w:right="720" w:bottom="607" w:left="720" w:header="851" w:footer="992" w:gutter="0"/>
          <w:pgNumType w:fmt="decimal"/>
          <w:cols w:space="720" w:num="1"/>
          <w:rtlGutter w:val="0"/>
          <w:docGrid w:type="lines" w:linePitch="312" w:charSpace="0"/>
        </w:sectPr>
      </w:pPr>
    </w:p>
    <w:p>
      <w:pPr>
        <w:tabs>
          <w:tab w:val="left" w:pos="13230"/>
        </w:tabs>
        <w:ind w:firstLine="568"/>
        <w:jc w:val="center"/>
        <w:rPr>
          <w:rFonts w:ascii="宋体" w:eastAsia="宋体" w:cs="宋体"/>
          <w:color w:val="auto"/>
          <w:szCs w:val="32"/>
        </w:rPr>
      </w:pPr>
      <w:r>
        <w:rPr>
          <w:rFonts w:hint="eastAsia" w:ascii="宋体" w:hAnsi="宋体" w:cs="仿宋_GB2312"/>
          <w:b/>
          <w:bCs/>
          <w:color w:val="auto"/>
          <w:kern w:val="0"/>
          <w:szCs w:val="32"/>
        </w:rPr>
        <w:t>广东省水运工程</w:t>
      </w:r>
      <w:r>
        <w:rPr>
          <w:rFonts w:hint="eastAsia" w:ascii="宋体" w:hAnsi="宋体" w:cs="仿宋_GB2312"/>
          <w:b/>
          <w:bCs/>
          <w:color w:val="auto"/>
          <w:kern w:val="0"/>
          <w:szCs w:val="32"/>
          <w:lang w:val="en-US" w:eastAsia="zh-CN"/>
        </w:rPr>
        <w:t>咨询</w:t>
      </w:r>
      <w:r>
        <w:rPr>
          <w:rFonts w:hint="eastAsia" w:ascii="宋体" w:hAnsi="宋体" w:cs="仿宋_GB2312"/>
          <w:b/>
          <w:bCs/>
          <w:color w:val="auto"/>
          <w:kern w:val="0"/>
          <w:szCs w:val="32"/>
        </w:rPr>
        <w:t>企业信用行为评定标准（投标行为）</w:t>
      </w:r>
    </w:p>
    <w:tbl>
      <w:tblPr>
        <w:tblStyle w:val="6"/>
        <w:tblW w:w="14208"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116"/>
        <w:gridCol w:w="1628"/>
        <w:gridCol w:w="15"/>
        <w:gridCol w:w="8138"/>
        <w:gridCol w:w="2111"/>
        <w:gridCol w:w="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759"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813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投标行为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（满分15分，扣完为止）</w:t>
            </w:r>
          </w:p>
        </w:tc>
        <w:tc>
          <w:tcPr>
            <w:tcW w:w="111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SYSJ1-1-1</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涂改、伪造、出借、转让资质证书</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SYSJ1-1-2</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以他人名义投标或者以其他方式弄虚作假，骗取中标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SYSJ1-1-3</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超越本单位资质等级承揽工程</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SYSJ1-1-4</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投标人之间相互串通投标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SYSJ1-1-5</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向招标人或者评标委员会成员行贿谋取中标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SYSJ1-1-6</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法律、法规规定的其他违法情形</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SYSJ1-1-7</w:t>
            </w:r>
          </w:p>
        </w:tc>
        <w:tc>
          <w:tcPr>
            <w:tcW w:w="8138" w:type="dxa"/>
            <w:tcBorders>
              <w:top w:val="single" w:color="auto" w:sz="4" w:space="0"/>
              <w:left w:val="single" w:color="auto" w:sz="4" w:space="0"/>
              <w:bottom w:val="single" w:color="auto" w:sz="4" w:space="0"/>
              <w:right w:val="single" w:color="auto" w:sz="4" w:space="0"/>
            </w:tcBorders>
            <w:vAlign w:val="bottom"/>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因违反法律、法规、规章被禁止投标后，在禁止期内仍参与投标</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D级延期半年/次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4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SYSJ1-1-8</w:t>
            </w:r>
          </w:p>
        </w:tc>
        <w:tc>
          <w:tcPr>
            <w:tcW w:w="8138"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因其他情形被广东省交通运输厅通报批评并取消在广东省交通建设市场投标资格</w:t>
            </w:r>
          </w:p>
        </w:tc>
        <w:tc>
          <w:tcPr>
            <w:tcW w:w="2126"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SYSJ1-2-1</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资格预审申请文件或投标文件存在严重造假行为，事实认定清楚</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SYSJ1-2-2</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u w:val="single"/>
              </w:rPr>
            </w:pPr>
            <w:r>
              <w:rPr>
                <w:rFonts w:hint="eastAsia" w:ascii="仿宋" w:hAnsi="仿宋" w:eastAsia="仿宋" w:cs="仿宋"/>
                <w:color w:val="auto"/>
                <w:sz w:val="18"/>
                <w:szCs w:val="18"/>
              </w:rPr>
              <w:t>中标后无正当理由放弃中标;或</w:t>
            </w:r>
            <w:r>
              <w:rPr>
                <w:rFonts w:hint="eastAsia" w:ascii="仿宋" w:hAnsi="仿宋" w:eastAsia="仿宋" w:cs="仿宋"/>
                <w:color w:val="auto"/>
                <w:kern w:val="0"/>
                <w:sz w:val="18"/>
                <w:szCs w:val="18"/>
              </w:rPr>
              <w:t>中标人拒不按照招标文件要求提交履约保证金</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SYSJ1-2-3</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捏造事实、伪造材料或者以非法手段取得证明材料，进行虚假、恶意投诉</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SYSJ1-2-4</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未按时确认补遗书等招标人发出的通知</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SYSJ1-2-5</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无正当理由未在规定时间内签订合同(非投标企业原因除外)</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SYSJ1-2-6</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对同一合同段递交2份及以上资格预审申请文件或投标文件</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SYSJ1-2-7</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采用资格预审招标方式的，</w:t>
            </w:r>
            <w:r>
              <w:rPr>
                <w:rFonts w:hint="eastAsia" w:ascii="仿宋" w:hAnsi="仿宋" w:eastAsia="仿宋" w:cs="仿宋"/>
                <w:color w:val="auto"/>
                <w:kern w:val="0"/>
                <w:sz w:val="18"/>
                <w:szCs w:val="18"/>
              </w:rPr>
              <w:t>非招标人或招标文件原因放弃投标，未提前书面告知招标人</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SYSJ1-2-8</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不及时反馈评标澄清</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SYSJ1-2-9</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投标文件中信用等级承诺书填写错误、不准确</w:t>
            </w:r>
          </w:p>
        </w:tc>
        <w:tc>
          <w:tcPr>
            <w:tcW w:w="2111" w:type="dxa"/>
            <w:tcBorders>
              <w:top w:val="single" w:color="auto" w:sz="4" w:space="0"/>
              <w:left w:val="single" w:color="auto" w:sz="4" w:space="0"/>
              <w:bottom w:val="single" w:color="auto" w:sz="4" w:space="0"/>
              <w:right w:val="single" w:color="auto" w:sz="4" w:space="0"/>
            </w:tcBorders>
            <w:vAlign w:val="top"/>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5" w:type="dxa"/>
          <w:trHeight w:val="393" w:hRule="atLeast"/>
          <w:jc w:val="center"/>
        </w:trPr>
        <w:tc>
          <w:tcPr>
            <w:tcW w:w="118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1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6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SYSJ1-2-10</w:t>
            </w:r>
          </w:p>
        </w:tc>
        <w:tc>
          <w:tcPr>
            <w:tcW w:w="8153"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sz w:val="18"/>
                <w:szCs w:val="18"/>
              </w:rPr>
              <w:t>其他被认定的失信行为</w:t>
            </w:r>
          </w:p>
        </w:tc>
        <w:tc>
          <w:tcPr>
            <w:tcW w:w="211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1～3分/次</w:t>
            </w:r>
          </w:p>
        </w:tc>
      </w:tr>
    </w:tbl>
    <w:p>
      <w:pPr>
        <w:tabs>
          <w:tab w:val="left" w:pos="1473"/>
          <w:tab w:val="left" w:pos="3100"/>
          <w:tab w:val="left" w:pos="4728"/>
          <w:tab w:val="left" w:pos="11248"/>
        </w:tabs>
        <w:ind w:left="288"/>
        <w:jc w:val="center"/>
        <w:rPr>
          <w:rFonts w:hint="eastAsia" w:ascii="宋体" w:hAnsi="宋体" w:cs="仿宋_GB2312"/>
          <w:b/>
          <w:bCs/>
          <w:color w:val="auto"/>
          <w:kern w:val="0"/>
          <w:szCs w:val="32"/>
        </w:rPr>
      </w:pPr>
    </w:p>
    <w:p>
      <w:pPr>
        <w:tabs>
          <w:tab w:val="left" w:pos="1473"/>
          <w:tab w:val="left" w:pos="3100"/>
          <w:tab w:val="left" w:pos="4728"/>
          <w:tab w:val="left" w:pos="11248"/>
        </w:tabs>
        <w:ind w:left="288"/>
        <w:jc w:val="center"/>
        <w:rPr>
          <w:rFonts w:ascii="宋体" w:eastAsia="宋体" w:cs="宋体"/>
          <w:b/>
          <w:bCs/>
          <w:color w:val="auto"/>
          <w:kern w:val="0"/>
          <w:szCs w:val="32"/>
        </w:rPr>
      </w:pPr>
      <w:r>
        <w:rPr>
          <w:rFonts w:hint="eastAsia" w:ascii="宋体" w:hAnsi="宋体" w:cs="仿宋_GB2312"/>
          <w:b/>
          <w:bCs/>
          <w:color w:val="auto"/>
          <w:kern w:val="0"/>
          <w:szCs w:val="32"/>
        </w:rPr>
        <w:t>广东省水运工程</w:t>
      </w:r>
      <w:r>
        <w:rPr>
          <w:rFonts w:hint="eastAsia" w:ascii="宋体" w:hAnsi="宋体" w:cs="仿宋_GB2312"/>
          <w:b/>
          <w:bCs/>
          <w:color w:val="auto"/>
          <w:kern w:val="0"/>
          <w:szCs w:val="32"/>
          <w:lang w:val="en-US" w:eastAsia="zh-CN"/>
        </w:rPr>
        <w:t>咨询</w:t>
      </w:r>
      <w:r>
        <w:rPr>
          <w:rFonts w:hint="eastAsia" w:ascii="宋体" w:hAnsi="宋体" w:cs="仿宋_GB2312"/>
          <w:b/>
          <w:bCs/>
          <w:color w:val="auto"/>
          <w:kern w:val="0"/>
          <w:szCs w:val="32"/>
        </w:rPr>
        <w:t>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1187"/>
        <w:gridCol w:w="1417"/>
        <w:gridCol w:w="8789"/>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jc w:val="center"/>
        </w:trPr>
        <w:tc>
          <w:tcPr>
            <w:tcW w:w="11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评定内容</w:t>
            </w:r>
          </w:p>
        </w:tc>
        <w:tc>
          <w:tcPr>
            <w:tcW w:w="2604"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行为代码</w:t>
            </w:r>
          </w:p>
        </w:tc>
        <w:tc>
          <w:tcPr>
            <w:tcW w:w="878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18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SYSJ2-1-1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将中标项目转包</w:t>
            </w:r>
            <w:r>
              <w:rPr>
                <w:rFonts w:hint="eastAsia" w:ascii="仿宋" w:hAnsi="仿宋" w:eastAsia="仿宋" w:cs="仿宋"/>
                <w:color w:val="auto"/>
                <w:kern w:val="0"/>
                <w:sz w:val="18"/>
                <w:szCs w:val="18"/>
              </w:rPr>
              <w:t>或违法分包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SYSJ2-1-2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w:t>
            </w:r>
            <w:r>
              <w:rPr>
                <w:rFonts w:hint="eastAsia" w:ascii="仿宋" w:hAnsi="仿宋" w:eastAsia="仿宋" w:cs="仿宋"/>
                <w:color w:val="auto"/>
                <w:sz w:val="18"/>
                <w:szCs w:val="18"/>
                <w:lang w:val="en-US" w:eastAsia="zh-CN"/>
              </w:rPr>
              <w:t>咨询单位</w:t>
            </w:r>
            <w:r>
              <w:rPr>
                <w:rFonts w:hint="eastAsia" w:ascii="仿宋" w:hAnsi="仿宋" w:eastAsia="仿宋" w:cs="仿宋"/>
                <w:color w:val="auto"/>
                <w:sz w:val="18"/>
                <w:szCs w:val="18"/>
              </w:rPr>
              <w:t>原因引起重大质量事故（二级以上）或重大以上等级安全责任事故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人员到位（满分15分，扣完为止）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投标书承诺的项目负责人未经项目法人(项目建设单位)同意更换</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SYSJ2-2-2</w:t>
            </w:r>
          </w:p>
        </w:tc>
        <w:tc>
          <w:tcPr>
            <w:tcW w:w="878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投标书承诺的专业负责人未经项目法人(项目建设单位)同意更换（包括提交图纸中各专业负责人或编制、</w:t>
            </w:r>
          </w:p>
          <w:p>
            <w:pPr>
              <w:rPr>
                <w:rFonts w:hint="eastAsia" w:ascii="仿宋" w:hAnsi="仿宋" w:eastAsia="仿宋" w:cs="仿宋"/>
                <w:color w:val="auto"/>
                <w:sz w:val="18"/>
                <w:szCs w:val="18"/>
              </w:rPr>
            </w:pPr>
            <w:r>
              <w:rPr>
                <w:rFonts w:hint="eastAsia" w:ascii="仿宋" w:hAnsi="仿宋" w:eastAsia="仿宋" w:cs="仿宋"/>
                <w:color w:val="auto"/>
                <w:kern w:val="0"/>
                <w:sz w:val="18"/>
                <w:szCs w:val="18"/>
              </w:rPr>
              <w:t>审核人员）</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SYSJ2-2-3</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lang w:val="en-US" w:eastAsia="zh-CN"/>
              </w:rPr>
              <w:t>咨询</w:t>
            </w:r>
            <w:r>
              <w:rPr>
                <w:rFonts w:hint="eastAsia" w:ascii="仿宋" w:hAnsi="仿宋" w:eastAsia="仿宋" w:cs="仿宋"/>
                <w:color w:val="auto"/>
                <w:kern w:val="0"/>
                <w:sz w:val="18"/>
                <w:szCs w:val="18"/>
              </w:rPr>
              <w:t xml:space="preserve">人员不具备相应执业资格条件 </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SYSJ2-2-4</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投标书承诺的施工期设计代表未经项目法人(项目建设单位)同意更换</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4分/人次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咨询</w:t>
            </w:r>
            <w:r>
              <w:rPr>
                <w:rFonts w:hint="eastAsia" w:ascii="仿宋" w:hAnsi="仿宋" w:eastAsia="仿宋" w:cs="仿宋"/>
                <w:color w:val="auto"/>
                <w:sz w:val="18"/>
                <w:szCs w:val="18"/>
              </w:rPr>
              <w:t>服务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（满分20分，扣完为止）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w:t>
            </w:r>
            <w:r>
              <w:rPr>
                <w:rFonts w:hint="eastAsia" w:ascii="仿宋" w:hAnsi="仿宋" w:eastAsia="仿宋" w:cs="仿宋"/>
                <w:color w:val="auto"/>
                <w:sz w:val="18"/>
                <w:szCs w:val="18"/>
                <w:lang w:val="en-US" w:eastAsia="zh-CN"/>
              </w:rPr>
              <w:t>咨询单位</w:t>
            </w:r>
            <w:r>
              <w:rPr>
                <w:rFonts w:hint="eastAsia" w:ascii="仿宋" w:hAnsi="仿宋" w:eastAsia="仿宋" w:cs="仿宋"/>
                <w:color w:val="auto"/>
                <w:sz w:val="18"/>
                <w:szCs w:val="18"/>
              </w:rPr>
              <w:t>原因未按合同约定时间提交</w:t>
            </w:r>
            <w:r>
              <w:rPr>
                <w:rFonts w:hint="eastAsia" w:ascii="仿宋" w:hAnsi="仿宋" w:eastAsia="仿宋" w:cs="仿宋"/>
                <w:color w:val="auto"/>
                <w:sz w:val="18"/>
                <w:szCs w:val="18"/>
                <w:lang w:val="en-US" w:eastAsia="zh-CN"/>
              </w:rPr>
              <w:t>咨询</w:t>
            </w:r>
            <w:r>
              <w:rPr>
                <w:rFonts w:hint="eastAsia" w:ascii="仿宋" w:hAnsi="仿宋" w:eastAsia="仿宋" w:cs="仿宋"/>
                <w:color w:val="auto"/>
                <w:sz w:val="18"/>
                <w:szCs w:val="18"/>
              </w:rPr>
              <w:t>成果</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因咨询单位原因未按合同约定开展工作或因自身原因提交咨询成果的时间不满足合同规定或未按委托单位书面形式要求提交咨询成果</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lang w:val="en-US" w:eastAsia="zh-CN"/>
              </w:rPr>
              <w:t>4</w:t>
            </w:r>
            <w:r>
              <w:rPr>
                <w:rFonts w:hint="eastAsia" w:ascii="仿宋" w:hAnsi="仿宋" w:eastAsia="仿宋" w:cs="仿宋"/>
                <w:color w:val="auto"/>
                <w:sz w:val="18"/>
                <w:szCs w:val="18"/>
              </w:rPr>
              <w:t>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SYSJ2-3-3</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因咨询单位进度原因，引起项目推迟开工</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SYSJ2-3-4</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因咨询单位原因未按时参加成果报告专家评审会</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3</w:t>
            </w:r>
            <w:r>
              <w:rPr>
                <w:rFonts w:hint="eastAsia" w:ascii="仿宋" w:hAnsi="仿宋" w:eastAsia="仿宋" w:cs="仿宋"/>
                <w:color w:val="auto"/>
                <w:sz w:val="18"/>
                <w:szCs w:val="18"/>
              </w:rPr>
              <w:t>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成果</w:t>
            </w:r>
            <w:r>
              <w:rPr>
                <w:rFonts w:hint="eastAsia" w:ascii="仿宋" w:hAnsi="仿宋" w:eastAsia="仿宋" w:cs="仿宋"/>
                <w:color w:val="auto"/>
                <w:sz w:val="18"/>
                <w:szCs w:val="18"/>
              </w:rPr>
              <w:t>质量</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（满分30分，扣完为止）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因咨询单位原因引起一般质量事故或较大安全事故。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SYSJ2-4-2</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因咨询单位原因引起一般质量问题或一般安全事故</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10分/次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0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SYSJ2-4-3</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咨询成果报告不满足行业标准、规范和有关主管部门文件要求；（单次审查、验收或检查为一次，视严重程度扣分，下同。）</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SYSJ2-4-4</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咨询成果报告基础资料收集不全；文本、图标等主要内容前后不统一；内容不全</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SYSJ2-4-5</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咨询成果报告不满足深度要求；或方案、措施、工期、主要结论不科学、不合理。</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2</w:t>
            </w: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24" w:hRule="exact"/>
          <w:tblHeader/>
          <w:jc w:val="center"/>
        </w:trPr>
        <w:tc>
          <w:tcPr>
            <w:tcW w:w="1185"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18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SYSJ2-4-6</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签章不全、未授权代签或借用他人资格签章</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2～3分/次</w:t>
            </w:r>
          </w:p>
        </w:tc>
      </w:tr>
    </w:tbl>
    <w:p>
      <w:pPr>
        <w:tabs>
          <w:tab w:val="left" w:pos="13125"/>
        </w:tabs>
        <w:ind w:firstLine="568"/>
        <w:jc w:val="center"/>
        <w:rPr>
          <w:rFonts w:hint="eastAsia" w:ascii="宋体" w:hAnsi="宋体" w:cs="仿宋_GB2312"/>
          <w:b/>
          <w:bCs/>
          <w:color w:val="auto"/>
          <w:kern w:val="0"/>
          <w:szCs w:val="32"/>
        </w:rPr>
      </w:pPr>
      <w:r>
        <w:rPr>
          <w:rFonts w:hint="eastAsia" w:ascii="宋体" w:hAnsi="宋体" w:cs="仿宋_GB2312"/>
          <w:b/>
          <w:bCs/>
          <w:color w:val="auto"/>
          <w:kern w:val="0"/>
          <w:szCs w:val="32"/>
        </w:rPr>
        <w:t>广东省水运工程</w:t>
      </w:r>
      <w:r>
        <w:rPr>
          <w:rFonts w:hint="eastAsia" w:ascii="宋体" w:hAnsi="宋体" w:cs="仿宋_GB2312"/>
          <w:b/>
          <w:bCs/>
          <w:color w:val="auto"/>
          <w:kern w:val="0"/>
          <w:szCs w:val="32"/>
          <w:lang w:val="en-US" w:eastAsia="zh-CN"/>
        </w:rPr>
        <w:t>咨询</w:t>
      </w:r>
      <w:r>
        <w:rPr>
          <w:rFonts w:hint="eastAsia" w:ascii="宋体" w:hAnsi="宋体" w:cs="仿宋_GB2312"/>
          <w:b/>
          <w:bCs/>
          <w:color w:val="auto"/>
          <w:kern w:val="0"/>
          <w:szCs w:val="32"/>
        </w:rPr>
        <w:t>企业信用行为评定标准（履约行为）</w:t>
      </w:r>
    </w:p>
    <w:tbl>
      <w:tblPr>
        <w:tblStyle w:val="6"/>
        <w:tblW w:w="14704"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6"/>
        <w:gridCol w:w="1276"/>
        <w:gridCol w:w="1417"/>
        <w:gridCol w:w="8789"/>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评定内容</w:t>
            </w:r>
          </w:p>
        </w:tc>
        <w:tc>
          <w:tcPr>
            <w:tcW w:w="2693"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行为代码</w:t>
            </w:r>
          </w:p>
        </w:tc>
        <w:tc>
          <w:tcPr>
            <w:tcW w:w="878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color w:val="auto"/>
                <w:sz w:val="18"/>
                <w:szCs w:val="18"/>
              </w:rPr>
            </w:pPr>
            <w:r>
              <w:rPr>
                <w:rFonts w:hint="eastAsia" w:ascii="仿宋" w:hAnsi="仿宋" w:eastAsia="仿宋" w:cs="仿宋"/>
                <w:b/>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restart"/>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履约行为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（满分70分，扣完为止）</w:t>
            </w:r>
          </w:p>
        </w:tc>
        <w:tc>
          <w:tcPr>
            <w:tcW w:w="1276"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成果</w:t>
            </w:r>
            <w:r>
              <w:rPr>
                <w:rFonts w:hint="eastAsia" w:ascii="仿宋" w:hAnsi="仿宋" w:eastAsia="仿宋" w:cs="仿宋"/>
                <w:color w:val="auto"/>
                <w:sz w:val="18"/>
                <w:szCs w:val="18"/>
              </w:rPr>
              <w:t>质量</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（满分30分，扣完为止）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SYSJ2-4-7</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对有关主管部门批复意见或审查意见未落实且无正当理由</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5</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SYSJ2-4-8</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因咨询单位原因，引起重大设计变更</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lang w:val="en-US" w:eastAsia="zh-CN"/>
              </w:rPr>
              <w:t>10</w:t>
            </w:r>
            <w:r>
              <w:rPr>
                <w:rFonts w:hint="eastAsia" w:ascii="仿宋" w:hAnsi="仿宋" w:eastAsia="仿宋" w:cs="仿宋"/>
                <w:color w:val="auto"/>
                <w:sz w:val="18"/>
                <w:szCs w:val="18"/>
              </w:rPr>
              <w:t>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0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SYSJ2-4-9</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因咨询单位原因，引起较大设计变更</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restart"/>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其他履约失信行为（满分30，扣完为止。行为代码GLZX2-5）</w:t>
            </w:r>
          </w:p>
        </w:tc>
        <w:tc>
          <w:tcPr>
            <w:tcW w:w="141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GLZX2-5-1</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违规谋取非法利益。</w:t>
            </w:r>
          </w:p>
        </w:tc>
        <w:tc>
          <w:tcPr>
            <w:tcW w:w="21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30分/次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GLZX2-5-2</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发生廉政事件但未触犯刑事法律</w:t>
            </w:r>
          </w:p>
        </w:tc>
        <w:tc>
          <w:tcPr>
            <w:tcW w:w="21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GLZX2-5-3</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咨询单位工作大纲及实施细则未落实（经咨询委托单位同意的合理调整除外）</w:t>
            </w:r>
          </w:p>
        </w:tc>
        <w:tc>
          <w:tcPr>
            <w:tcW w:w="21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6分/项次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814" w:hRule="exact"/>
          <w:tblHeader/>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both"/>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GLZX2-5-4</w:t>
            </w:r>
          </w:p>
        </w:tc>
        <w:tc>
          <w:tcPr>
            <w:tcW w:w="878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发生其他不良或违规行为，被项目建设单位或咨询委托单位通报批评的每次扣2分；</w:t>
            </w:r>
            <w:r>
              <w:rPr>
                <w:rFonts w:hint="eastAsia" w:ascii="仿宋" w:hAnsi="仿宋" w:eastAsia="仿宋" w:cs="仿宋"/>
                <w:i w:val="0"/>
                <w:color w:val="auto"/>
                <w:kern w:val="0"/>
                <w:sz w:val="18"/>
                <w:szCs w:val="18"/>
                <w:u w:val="none"/>
                <w:lang w:val="en-US" w:eastAsia="zh-CN" w:bidi="ar"/>
              </w:rPr>
              <w:br w:type="textWrapping"/>
            </w:r>
            <w:r>
              <w:rPr>
                <w:rFonts w:hint="eastAsia" w:ascii="仿宋" w:hAnsi="仿宋" w:eastAsia="仿宋" w:cs="仿宋"/>
                <w:i w:val="0"/>
                <w:color w:val="auto"/>
                <w:kern w:val="0"/>
                <w:sz w:val="18"/>
                <w:szCs w:val="18"/>
                <w:u w:val="none"/>
                <w:lang w:val="en-US" w:eastAsia="zh-CN" w:bidi="ar"/>
              </w:rPr>
              <w:t>被地市级交通、造价或质监机构通报批评的每次扣3分；</w:t>
            </w:r>
            <w:r>
              <w:rPr>
                <w:rFonts w:hint="eastAsia" w:ascii="仿宋" w:hAnsi="仿宋" w:eastAsia="仿宋" w:cs="仿宋"/>
                <w:i w:val="0"/>
                <w:color w:val="auto"/>
                <w:kern w:val="0"/>
                <w:sz w:val="18"/>
                <w:szCs w:val="18"/>
                <w:u w:val="none"/>
                <w:lang w:val="en-US" w:eastAsia="zh-CN" w:bidi="ar"/>
              </w:rPr>
              <w:br w:type="textWrapping"/>
            </w:r>
            <w:r>
              <w:rPr>
                <w:rFonts w:hint="eastAsia" w:ascii="仿宋" w:hAnsi="仿宋" w:eastAsia="仿宋" w:cs="仿宋"/>
                <w:i w:val="0"/>
                <w:color w:val="auto"/>
                <w:kern w:val="0"/>
                <w:sz w:val="18"/>
                <w:szCs w:val="18"/>
                <w:u w:val="none"/>
                <w:lang w:val="en-US" w:eastAsia="zh-CN" w:bidi="ar"/>
              </w:rPr>
              <w:t>被省航道部门、省级造价或质监机构（部门）通报批评的每次扣4分。</w:t>
            </w:r>
            <w:r>
              <w:rPr>
                <w:rFonts w:hint="eastAsia" w:ascii="仿宋" w:hAnsi="仿宋" w:eastAsia="仿宋" w:cs="仿宋"/>
                <w:i w:val="0"/>
                <w:color w:val="auto"/>
                <w:kern w:val="0"/>
                <w:sz w:val="18"/>
                <w:szCs w:val="18"/>
                <w:u w:val="none"/>
                <w:lang w:val="en-US" w:eastAsia="zh-CN" w:bidi="ar"/>
              </w:rPr>
              <w:br w:type="textWrapping"/>
            </w:r>
            <w:r>
              <w:rPr>
                <w:rFonts w:hint="eastAsia" w:ascii="仿宋" w:hAnsi="仿宋" w:eastAsia="仿宋" w:cs="仿宋"/>
                <w:i w:val="0"/>
                <w:color w:val="auto"/>
                <w:kern w:val="0"/>
                <w:sz w:val="18"/>
                <w:szCs w:val="18"/>
                <w:u w:val="none"/>
                <w:lang w:val="en-US" w:eastAsia="zh-CN" w:bidi="ar"/>
              </w:rPr>
              <w:t>被省交通运输厅、交通运输部通报批评的每次扣5分。</w:t>
            </w:r>
            <w:r>
              <w:rPr>
                <w:rFonts w:hint="eastAsia" w:ascii="仿宋" w:hAnsi="仿宋" w:eastAsia="仿宋" w:cs="仿宋"/>
                <w:i w:val="0"/>
                <w:color w:val="auto"/>
                <w:kern w:val="0"/>
                <w:sz w:val="18"/>
                <w:szCs w:val="18"/>
                <w:u w:val="none"/>
                <w:lang w:val="en-US" w:eastAsia="zh-CN" w:bidi="ar"/>
              </w:rPr>
              <w:br w:type="textWrapping"/>
            </w:r>
            <w:r>
              <w:rPr>
                <w:rFonts w:hint="eastAsia" w:ascii="仿宋" w:hAnsi="仿宋" w:eastAsia="仿宋" w:cs="仿宋"/>
                <w:i w:val="0"/>
                <w:color w:val="auto"/>
                <w:kern w:val="0"/>
                <w:sz w:val="18"/>
                <w:szCs w:val="18"/>
                <w:u w:val="none"/>
                <w:lang w:val="en-US" w:eastAsia="zh-CN" w:bidi="ar"/>
              </w:rPr>
              <w:t>针对同一事件的通报批评内容，不累加，取最高扣分值。</w:t>
            </w:r>
          </w:p>
        </w:tc>
        <w:tc>
          <w:tcPr>
            <w:tcW w:w="212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仿宋" w:hAnsi="仿宋" w:eastAsia="仿宋" w:cs="仿宋"/>
                <w:color w:val="auto"/>
                <w:sz w:val="18"/>
                <w:szCs w:val="18"/>
              </w:rPr>
            </w:pPr>
            <w:r>
              <w:rPr>
                <w:rFonts w:hint="eastAsia" w:ascii="仿宋" w:hAnsi="仿宋" w:eastAsia="仿宋" w:cs="仿宋"/>
                <w:i w:val="0"/>
                <w:color w:val="auto"/>
                <w:kern w:val="0"/>
                <w:sz w:val="18"/>
                <w:szCs w:val="18"/>
                <w:u w:val="none"/>
                <w:lang w:val="en-US" w:eastAsia="zh-CN" w:bidi="ar"/>
              </w:rPr>
              <w:t>3～5分/次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46" w:hRule="exact"/>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社会责任</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（满分5分，扣完为止）</w:t>
            </w: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SYSJ2-5-1</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未经专利权人许可实施其专利的，或假冒他人专利</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096" w:type="dxa"/>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76"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41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SYSJ2-5-2</w:t>
            </w:r>
          </w:p>
        </w:tc>
        <w:tc>
          <w:tcPr>
            <w:tcW w:w="8789"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因</w:t>
            </w:r>
            <w:r>
              <w:rPr>
                <w:rFonts w:hint="eastAsia" w:ascii="仿宋" w:hAnsi="仿宋" w:eastAsia="仿宋" w:cs="仿宋"/>
                <w:color w:val="auto"/>
                <w:sz w:val="18"/>
                <w:szCs w:val="18"/>
                <w:lang w:val="en-US" w:eastAsia="zh-CN"/>
              </w:rPr>
              <w:t>咨询单位</w:t>
            </w:r>
            <w:r>
              <w:rPr>
                <w:rFonts w:hint="eastAsia" w:ascii="仿宋" w:hAnsi="仿宋" w:eastAsia="仿宋" w:cs="仿宋"/>
                <w:color w:val="auto"/>
                <w:sz w:val="18"/>
                <w:szCs w:val="18"/>
              </w:rPr>
              <w:t>原因造成环境污染</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1～3分</w:t>
            </w:r>
          </w:p>
        </w:tc>
      </w:tr>
    </w:tbl>
    <w:p>
      <w:pPr>
        <w:tabs>
          <w:tab w:val="left" w:pos="1473"/>
          <w:tab w:val="left" w:pos="3227"/>
          <w:tab w:val="left" w:pos="4503"/>
          <w:tab w:val="left" w:pos="12866"/>
        </w:tabs>
        <w:ind w:left="288"/>
        <w:jc w:val="left"/>
        <w:rPr>
          <w:rFonts w:ascii="仿宋_GB2312" w:hAnsi="仿宋"/>
          <w:color w:val="auto"/>
          <w:sz w:val="18"/>
          <w:szCs w:val="18"/>
        </w:rPr>
      </w:pPr>
    </w:p>
    <w:p>
      <w:pPr>
        <w:tabs>
          <w:tab w:val="left" w:pos="1473"/>
          <w:tab w:val="left" w:pos="3227"/>
          <w:tab w:val="left" w:pos="4503"/>
          <w:tab w:val="left" w:pos="12866"/>
        </w:tabs>
        <w:ind w:left="288"/>
        <w:jc w:val="left"/>
        <w:rPr>
          <w:rFonts w:ascii="仿宋_GB2312" w:hAnsi="仿宋"/>
          <w:color w:val="auto"/>
          <w:sz w:val="18"/>
          <w:szCs w:val="18"/>
        </w:rPr>
      </w:pPr>
    </w:p>
    <w:p>
      <w:pPr>
        <w:tabs>
          <w:tab w:val="left" w:pos="1473"/>
          <w:tab w:val="left" w:pos="3227"/>
          <w:tab w:val="left" w:pos="4503"/>
          <w:tab w:val="left" w:pos="12866"/>
        </w:tabs>
        <w:ind w:left="288"/>
        <w:jc w:val="left"/>
        <w:rPr>
          <w:rFonts w:ascii="仿宋_GB2312" w:hAnsi="仿宋"/>
          <w:color w:val="auto"/>
          <w:sz w:val="18"/>
          <w:szCs w:val="18"/>
        </w:rPr>
      </w:pPr>
    </w:p>
    <w:p>
      <w:pPr>
        <w:tabs>
          <w:tab w:val="left" w:pos="1473"/>
          <w:tab w:val="left" w:pos="3227"/>
          <w:tab w:val="left" w:pos="4503"/>
          <w:tab w:val="left" w:pos="12866"/>
        </w:tabs>
        <w:ind w:left="288"/>
        <w:jc w:val="left"/>
        <w:rPr>
          <w:rFonts w:ascii="仿宋_GB2312" w:hAnsi="仿宋"/>
          <w:color w:val="auto"/>
          <w:sz w:val="18"/>
          <w:szCs w:val="18"/>
        </w:rPr>
      </w:pPr>
    </w:p>
    <w:p>
      <w:pPr>
        <w:tabs>
          <w:tab w:val="left" w:pos="1473"/>
          <w:tab w:val="left" w:pos="3227"/>
          <w:tab w:val="left" w:pos="4503"/>
          <w:tab w:val="left" w:pos="12866"/>
        </w:tabs>
        <w:ind w:left="288"/>
        <w:jc w:val="left"/>
        <w:rPr>
          <w:rFonts w:ascii="仿宋_GB2312" w:hAnsi="仿宋"/>
          <w:color w:val="auto"/>
          <w:sz w:val="18"/>
          <w:szCs w:val="18"/>
        </w:rPr>
      </w:pPr>
    </w:p>
    <w:p>
      <w:pPr>
        <w:tabs>
          <w:tab w:val="left" w:pos="1473"/>
          <w:tab w:val="left" w:pos="3227"/>
          <w:tab w:val="left" w:pos="4503"/>
          <w:tab w:val="left" w:pos="12866"/>
        </w:tabs>
        <w:ind w:left="288"/>
        <w:jc w:val="left"/>
        <w:rPr>
          <w:rFonts w:ascii="仿宋_GB2312" w:hAnsi="仿宋"/>
          <w:color w:val="auto"/>
          <w:sz w:val="18"/>
          <w:szCs w:val="18"/>
        </w:rPr>
      </w:pPr>
    </w:p>
    <w:p>
      <w:pPr>
        <w:tabs>
          <w:tab w:val="left" w:pos="1473"/>
          <w:tab w:val="left" w:pos="3227"/>
          <w:tab w:val="left" w:pos="4503"/>
          <w:tab w:val="left" w:pos="12866"/>
        </w:tabs>
        <w:ind w:left="288"/>
        <w:jc w:val="left"/>
        <w:rPr>
          <w:rFonts w:ascii="仿宋_GB2312" w:hAnsi="仿宋"/>
          <w:color w:val="auto"/>
          <w:sz w:val="18"/>
          <w:szCs w:val="18"/>
        </w:rPr>
      </w:pPr>
      <w:r>
        <w:rPr>
          <w:rFonts w:ascii="仿宋_GB2312" w:hAnsi="仿宋"/>
          <w:color w:val="auto"/>
          <w:sz w:val="18"/>
          <w:szCs w:val="18"/>
        </w:rPr>
        <w:tab/>
      </w:r>
      <w:r>
        <w:rPr>
          <w:rFonts w:ascii="仿宋_GB2312" w:hAnsi="仿宋"/>
          <w:color w:val="auto"/>
          <w:sz w:val="18"/>
          <w:szCs w:val="18"/>
        </w:rPr>
        <w:tab/>
      </w:r>
      <w:r>
        <w:rPr>
          <w:rFonts w:ascii="仿宋_GB2312" w:hAnsi="仿宋"/>
          <w:color w:val="auto"/>
          <w:sz w:val="18"/>
          <w:szCs w:val="18"/>
        </w:rPr>
        <w:tab/>
      </w:r>
    </w:p>
    <w:p>
      <w:pPr>
        <w:tabs>
          <w:tab w:val="left" w:pos="13035"/>
        </w:tabs>
        <w:ind w:firstLine="568"/>
        <w:jc w:val="center"/>
        <w:rPr>
          <w:rFonts w:ascii="仿宋" w:hAnsi="仿宋" w:eastAsia="仿宋"/>
          <w:color w:val="auto"/>
          <w:sz w:val="20"/>
          <w:szCs w:val="20"/>
        </w:rPr>
      </w:pPr>
      <w:r>
        <w:rPr>
          <w:rFonts w:hint="eastAsia" w:ascii="宋体" w:hAnsi="宋体" w:cs="仿宋_GB2312"/>
          <w:b/>
          <w:bCs/>
          <w:color w:val="auto"/>
          <w:kern w:val="0"/>
          <w:szCs w:val="32"/>
        </w:rPr>
        <w:t>广东省水运工程</w:t>
      </w:r>
      <w:r>
        <w:rPr>
          <w:rFonts w:hint="eastAsia" w:ascii="宋体" w:hAnsi="宋体" w:cs="仿宋_GB2312"/>
          <w:b/>
          <w:bCs/>
          <w:color w:val="auto"/>
          <w:kern w:val="0"/>
          <w:szCs w:val="32"/>
          <w:lang w:val="en-US" w:eastAsia="zh-CN"/>
        </w:rPr>
        <w:t>咨询</w:t>
      </w:r>
      <w:r>
        <w:rPr>
          <w:rFonts w:hint="eastAsia" w:ascii="宋体" w:hAnsi="宋体" w:cs="仿宋_GB2312"/>
          <w:b/>
          <w:bCs/>
          <w:color w:val="auto"/>
          <w:kern w:val="0"/>
          <w:szCs w:val="32"/>
        </w:rPr>
        <w:t>企业信用行为评定标准（其他行为）</w:t>
      </w:r>
    </w:p>
    <w:tbl>
      <w:tblPr>
        <w:tblStyle w:val="6"/>
        <w:tblW w:w="15326" w:type="dxa"/>
        <w:jc w:val="center"/>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7"/>
        <w:gridCol w:w="1013"/>
        <w:gridCol w:w="1206"/>
        <w:gridCol w:w="9174"/>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80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评定内容</w:t>
            </w:r>
          </w:p>
        </w:tc>
        <w:tc>
          <w:tcPr>
            <w:tcW w:w="2219"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行为代码</w:t>
            </w:r>
          </w:p>
        </w:tc>
        <w:tc>
          <w:tcPr>
            <w:tcW w:w="917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bCs/>
                <w:color w:val="auto"/>
                <w:sz w:val="18"/>
                <w:szCs w:val="18"/>
              </w:rPr>
            </w:pPr>
            <w:r>
              <w:rPr>
                <w:rFonts w:hint="eastAsia" w:ascii="仿宋" w:hAnsi="仿宋" w:eastAsia="仿宋" w:cs="仿宋"/>
                <w:b/>
                <w:bCs/>
                <w:color w:val="auto"/>
                <w:sz w:val="18"/>
                <w:szCs w:val="18"/>
              </w:rPr>
              <w:t>行为等级和扣分标准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其它行为-失信行为</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（满分15分，在总分中扣除，扣完为止）</w:t>
            </w:r>
          </w:p>
        </w:tc>
        <w:tc>
          <w:tcPr>
            <w:tcW w:w="101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严重失信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SYSJ3-1-1</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被司法机关认定有行贿、受贿行为，并构成犯罪</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SYSJ3-1-2</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企业在资质申请、延续、变更中存在造假行为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SYSJ3-1-3</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与招标人串通投标</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SYSJ3-1-4</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与招标人订立背离合同实质性内容的其他协议</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直接定为D级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SYSJ3-1-5</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由于企业自身原因，应参加信用评价但未按要求提交相关评价资料申请参加信用评价的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直接定为C级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SYSJ3-1-6</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由于</w:t>
            </w:r>
            <w:r>
              <w:rPr>
                <w:rFonts w:hint="eastAsia" w:ascii="仿宋" w:hAnsi="仿宋" w:eastAsia="仿宋" w:cs="仿宋"/>
                <w:color w:val="auto"/>
                <w:kern w:val="0"/>
                <w:sz w:val="18"/>
                <w:szCs w:val="18"/>
                <w:lang w:val="en-US" w:eastAsia="zh-CN"/>
              </w:rPr>
              <w:t>咨询</w:t>
            </w:r>
            <w:r>
              <w:rPr>
                <w:rFonts w:hint="eastAsia" w:ascii="仿宋" w:hAnsi="仿宋" w:eastAsia="仿宋" w:cs="仿宋"/>
                <w:color w:val="auto"/>
                <w:kern w:val="0"/>
                <w:sz w:val="18"/>
                <w:szCs w:val="18"/>
              </w:rPr>
              <w:t>企业主要责任，已建成工程项目出现质量问题被地市级以上交通主管部门（或相关管理机构）通报的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rPr>
              <w:t>5</w:t>
            </w:r>
            <w:r>
              <w:rPr>
                <w:rFonts w:hint="eastAsia" w:ascii="仿宋" w:hAnsi="仿宋" w:eastAsia="仿宋" w:cs="仿宋"/>
                <w:color w:val="auto"/>
                <w:sz w:val="18"/>
                <w:szCs w:val="18"/>
              </w:rPr>
              <w:t>～</w:t>
            </w:r>
            <w:r>
              <w:rPr>
                <w:rFonts w:hint="eastAsia" w:ascii="仿宋" w:hAnsi="仿宋" w:eastAsia="仿宋" w:cs="仿宋"/>
                <w:color w:val="auto"/>
                <w:kern w:val="0"/>
                <w:sz w:val="18"/>
                <w:szCs w:val="18"/>
              </w:rPr>
              <w:t>15分(视严重程度)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一般失信</w:t>
            </w:r>
          </w:p>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行为</w:t>
            </w: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SYSJ3-2-1</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未按规定填报或变更信用信息</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3分/次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SYSJ3-2-2</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填报或变更信用信息存在造假行为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SYSJ3-2-3</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弄虚作假或以不正当手段骗取较高信用等级</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SYSJ3-2-4</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被省级以上交通运输主管部门或部属单位通报批评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SYSJ3-2-5</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被</w:t>
            </w:r>
            <w:r>
              <w:rPr>
                <w:rFonts w:hint="eastAsia" w:ascii="仿宋" w:hAnsi="仿宋" w:eastAsia="仿宋" w:cs="仿宋"/>
                <w:color w:val="auto"/>
                <w:kern w:val="0"/>
                <w:sz w:val="18"/>
                <w:szCs w:val="18"/>
              </w:rPr>
              <w:t>地级以上市</w:t>
            </w:r>
            <w:r>
              <w:rPr>
                <w:rFonts w:hint="eastAsia" w:ascii="仿宋" w:hAnsi="仿宋" w:eastAsia="仿宋" w:cs="仿宋"/>
                <w:color w:val="auto"/>
                <w:sz w:val="18"/>
                <w:szCs w:val="18"/>
              </w:rPr>
              <w:t>交通运输（港口）主管部门通报批评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SYSJ3-2-6</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进行虚假投诉</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8分/次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w:t>
            </w:r>
            <w:r>
              <w:rPr>
                <w:rFonts w:hint="eastAsia" w:ascii="仿宋" w:hAnsi="仿宋" w:eastAsia="仿宋" w:cs="仿宋"/>
                <w:color w:val="auto"/>
                <w:sz w:val="18"/>
                <w:szCs w:val="18"/>
                <w:lang w:val="en-US" w:eastAsia="zh-CN"/>
              </w:rPr>
              <w:t>7</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因在我省水运工程质量和安全生产的违法违规行为，被交通运输部予以信息公开的；或因工程建设质量安全等问题被列入省级工程质量安全重要事项阳光公开目录并予以信息公开的</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2～5分/次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80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013"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SYSJ3-2-</w:t>
            </w:r>
            <w:r>
              <w:rPr>
                <w:rFonts w:hint="eastAsia" w:ascii="仿宋" w:hAnsi="仿宋" w:eastAsia="仿宋" w:cs="仿宋"/>
                <w:color w:val="auto"/>
                <w:sz w:val="18"/>
                <w:szCs w:val="18"/>
                <w:lang w:val="en-US" w:eastAsia="zh-CN"/>
              </w:rPr>
              <w:t>8</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其他被认定的失信行为</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1～4分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其他行为-良好信誉行为</w:t>
            </w: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SYSJ4-1-1</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获得省内地级市交通运输主管部门、省</w:t>
            </w:r>
            <w:r>
              <w:rPr>
                <w:rFonts w:hint="eastAsia" w:ascii="仿宋" w:hAnsi="仿宋" w:eastAsia="仿宋" w:cs="仿宋"/>
                <w:color w:val="auto"/>
                <w:sz w:val="18"/>
                <w:szCs w:val="18"/>
                <w:lang w:val="en-US" w:eastAsia="zh-CN"/>
              </w:rPr>
              <w:t>航道部门</w:t>
            </w:r>
            <w:r>
              <w:rPr>
                <w:rFonts w:hint="eastAsia" w:ascii="仿宋" w:hAnsi="仿宋" w:eastAsia="仿宋" w:cs="仿宋"/>
                <w:color w:val="auto"/>
                <w:sz w:val="18"/>
                <w:szCs w:val="18"/>
              </w:rPr>
              <w:t>、省级造价机构通报表彰</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加1分/次(最高</w:t>
            </w:r>
            <w:r>
              <w:rPr>
                <w:rFonts w:hint="eastAsia" w:ascii="仿宋" w:hAnsi="仿宋" w:eastAsia="仿宋" w:cs="仿宋"/>
                <w:color w:val="auto"/>
                <w:sz w:val="18"/>
                <w:szCs w:val="18"/>
                <w:lang w:val="en-US" w:eastAsia="zh-CN"/>
              </w:rPr>
              <w:t>加</w:t>
            </w:r>
            <w:r>
              <w:rPr>
                <w:rFonts w:hint="eastAsia" w:ascii="仿宋" w:hAnsi="仿宋" w:eastAsia="仿宋" w:cs="仿宋"/>
                <w:color w:val="auto"/>
                <w:sz w:val="18"/>
                <w:szCs w:val="18"/>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SYSJ4-1-2</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获得省交通运输厅通报表彰</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加2分/次(最高</w:t>
            </w:r>
            <w:r>
              <w:rPr>
                <w:rFonts w:hint="eastAsia" w:ascii="仿宋" w:hAnsi="仿宋" w:eastAsia="仿宋" w:cs="仿宋"/>
                <w:color w:val="auto"/>
                <w:sz w:val="18"/>
                <w:szCs w:val="18"/>
                <w:lang w:val="en-US" w:eastAsia="zh-CN"/>
              </w:rPr>
              <w:t>加</w:t>
            </w:r>
            <w:r>
              <w:rPr>
                <w:rFonts w:hint="eastAsia" w:ascii="仿宋" w:hAnsi="仿宋" w:eastAsia="仿宋" w:cs="仿宋"/>
                <w:color w:val="auto"/>
                <w:sz w:val="18"/>
                <w:szCs w:val="18"/>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SYSJ4-1-3</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sz w:val="18"/>
                <w:szCs w:val="18"/>
              </w:rPr>
              <w:t>获得省部级通报表彰</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加3分/次(最高</w:t>
            </w:r>
            <w:r>
              <w:rPr>
                <w:rFonts w:hint="eastAsia" w:ascii="仿宋" w:hAnsi="仿宋" w:eastAsia="仿宋" w:cs="仿宋"/>
                <w:color w:val="auto"/>
                <w:sz w:val="18"/>
                <w:szCs w:val="18"/>
                <w:lang w:val="en-US" w:eastAsia="zh-CN"/>
              </w:rPr>
              <w:t>加</w:t>
            </w:r>
            <w:r>
              <w:rPr>
                <w:rFonts w:hint="eastAsia" w:ascii="仿宋" w:hAnsi="仿宋" w:eastAsia="仿宋" w:cs="仿宋"/>
                <w:color w:val="auto"/>
                <w:sz w:val="18"/>
                <w:szCs w:val="18"/>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0" w:hRule="exact"/>
          <w:jc w:val="center"/>
        </w:trPr>
        <w:tc>
          <w:tcPr>
            <w:tcW w:w="2820" w:type="dxa"/>
            <w:gridSpan w:val="2"/>
            <w:vMerge w:val="continue"/>
            <w:tcBorders>
              <w:left w:val="single" w:color="auto" w:sz="4" w:space="0"/>
              <w:right w:val="single" w:color="auto" w:sz="4" w:space="0"/>
            </w:tcBorders>
            <w:vAlign w:val="center"/>
          </w:tcPr>
          <w:p>
            <w:pPr>
              <w:jc w:val="center"/>
              <w:rPr>
                <w:rFonts w:hint="eastAsia" w:ascii="仿宋" w:hAnsi="仿宋" w:eastAsia="仿宋" w:cs="仿宋"/>
                <w:color w:val="auto"/>
                <w:sz w:val="18"/>
                <w:szCs w:val="18"/>
              </w:rPr>
            </w:pPr>
          </w:p>
        </w:tc>
        <w:tc>
          <w:tcPr>
            <w:tcW w:w="120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sz w:val="18"/>
                <w:szCs w:val="18"/>
              </w:rPr>
              <w:t>SYSJ4-1-4</w:t>
            </w:r>
          </w:p>
        </w:tc>
        <w:tc>
          <w:tcPr>
            <w:tcW w:w="9174" w:type="dxa"/>
            <w:tcBorders>
              <w:top w:val="single" w:color="auto" w:sz="4" w:space="0"/>
              <w:left w:val="single" w:color="auto" w:sz="4" w:space="0"/>
              <w:bottom w:val="single" w:color="auto" w:sz="4" w:space="0"/>
              <w:right w:val="single" w:color="auto" w:sz="4" w:space="0"/>
            </w:tcBorders>
            <w:vAlign w:val="center"/>
          </w:tcPr>
          <w:p>
            <w:pPr>
              <w:rPr>
                <w:rFonts w:hint="eastAsia" w:ascii="仿宋" w:hAnsi="仿宋" w:eastAsia="仿宋" w:cs="仿宋"/>
                <w:color w:val="auto"/>
                <w:sz w:val="18"/>
                <w:szCs w:val="18"/>
              </w:rPr>
            </w:pPr>
            <w:r>
              <w:rPr>
                <w:rFonts w:hint="eastAsia" w:ascii="仿宋" w:hAnsi="仿宋" w:eastAsia="仿宋" w:cs="仿宋"/>
                <w:color w:val="auto"/>
                <w:kern w:val="0"/>
                <w:sz w:val="18"/>
                <w:szCs w:val="18"/>
              </w:rPr>
              <w:t>评价年度内，从业单位作为主要单位承担的我省</w:t>
            </w:r>
            <w:r>
              <w:rPr>
                <w:rFonts w:hint="eastAsia" w:ascii="仿宋" w:hAnsi="仿宋" w:eastAsia="仿宋" w:cs="仿宋"/>
                <w:color w:val="auto"/>
                <w:kern w:val="0"/>
                <w:sz w:val="18"/>
                <w:szCs w:val="18"/>
                <w:lang w:val="en-US" w:eastAsia="zh-CN"/>
              </w:rPr>
              <w:t>水运</w:t>
            </w:r>
            <w:r>
              <w:rPr>
                <w:rFonts w:hint="eastAsia" w:ascii="仿宋" w:hAnsi="仿宋" w:eastAsia="仿宋" w:cs="仿宋"/>
                <w:color w:val="auto"/>
                <w:kern w:val="0"/>
                <w:sz w:val="18"/>
                <w:szCs w:val="18"/>
              </w:rPr>
              <w:t>工程建设项目或科研课题获得国家科技进步奖（二等奖以上）、国家优质工程奖、詹天佑奖、鲁班奖。</w:t>
            </w:r>
            <w:r>
              <w:rPr>
                <w:rFonts w:hint="eastAsia" w:ascii="仿宋" w:hAnsi="仿宋" w:eastAsia="仿宋" w:cs="仿宋"/>
                <w:color w:val="auto"/>
                <w:kern w:val="0"/>
                <w:sz w:val="18"/>
                <w:szCs w:val="18"/>
                <w:lang w:eastAsia="zh-CN"/>
              </w:rPr>
              <w:t>（</w:t>
            </w:r>
            <w:r>
              <w:rPr>
                <w:rFonts w:hint="eastAsia" w:ascii="仿宋" w:hAnsi="仿宋" w:eastAsia="仿宋" w:cs="仿宋"/>
                <w:color w:val="auto"/>
                <w:kern w:val="0"/>
                <w:sz w:val="18"/>
                <w:szCs w:val="18"/>
                <w:lang w:val="en-US" w:eastAsia="zh-CN"/>
              </w:rPr>
              <w:t>优秀咨询奖</w:t>
            </w:r>
            <w:r>
              <w:rPr>
                <w:rFonts w:hint="eastAsia" w:ascii="仿宋" w:hAnsi="仿宋" w:eastAsia="仿宋" w:cs="仿宋"/>
                <w:color w:val="auto"/>
                <w:kern w:val="0"/>
                <w:sz w:val="18"/>
                <w:szCs w:val="18"/>
                <w:lang w:eastAsia="zh-CN"/>
              </w:rPr>
              <w:t>）</w:t>
            </w: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18"/>
                <w:szCs w:val="18"/>
              </w:rPr>
            </w:pPr>
            <w:r>
              <w:rPr>
                <w:rFonts w:hint="eastAsia" w:ascii="仿宋" w:hAnsi="仿宋" w:eastAsia="仿宋" w:cs="仿宋"/>
                <w:color w:val="auto"/>
                <w:kern w:val="0"/>
                <w:sz w:val="18"/>
                <w:szCs w:val="18"/>
                <w:lang w:eastAsia="zh-CN"/>
              </w:rPr>
              <w:t>加0.5分(最高限值1分)</w:t>
            </w:r>
          </w:p>
        </w:tc>
      </w:tr>
    </w:tbl>
    <w:p>
      <w:pPr>
        <w:spacing w:line="360" w:lineRule="auto"/>
        <w:rPr>
          <w:rFonts w:hint="eastAsia" w:ascii="宋体" w:hAnsi="宋体" w:cs="仿宋_GB2312"/>
          <w:color w:val="auto"/>
          <w:sz w:val="24"/>
          <w:szCs w:val="24"/>
        </w:rPr>
      </w:pPr>
    </w:p>
    <w:p>
      <w:pPr>
        <w:spacing w:line="360" w:lineRule="auto"/>
        <w:rPr>
          <w:rFonts w:ascii="宋体" w:eastAsia="宋体" w:cs="宋体"/>
          <w:color w:val="auto"/>
          <w:sz w:val="24"/>
          <w:szCs w:val="24"/>
        </w:rPr>
      </w:pPr>
      <w:r>
        <w:rPr>
          <w:rFonts w:hint="eastAsia" w:ascii="宋体" w:hAnsi="宋体" w:cs="仿宋_GB2312"/>
          <w:color w:val="auto"/>
          <w:sz w:val="24"/>
          <w:szCs w:val="24"/>
        </w:rPr>
        <w:t>注：</w:t>
      </w:r>
      <w:r>
        <w:rPr>
          <w:rFonts w:ascii="宋体" w:hAnsi="宋体" w:cs="宋体"/>
          <w:color w:val="auto"/>
          <w:sz w:val="24"/>
          <w:szCs w:val="24"/>
        </w:rPr>
        <w:t>1.</w:t>
      </w:r>
      <w:r>
        <w:rPr>
          <w:rFonts w:hint="eastAsia" w:ascii="宋体" w:hAnsi="宋体" w:cs="仿宋_GB2312"/>
          <w:color w:val="auto"/>
          <w:sz w:val="24"/>
          <w:szCs w:val="24"/>
        </w:rPr>
        <w:t>“其他被认定的失信行为”是指由省级以上交通运输主管部门依据法律法规或其他规定认定的企业其他失信行为。</w:t>
      </w:r>
    </w:p>
    <w:p>
      <w:pPr>
        <w:spacing w:line="360" w:lineRule="auto"/>
        <w:ind w:firstLine="420"/>
        <w:rPr>
          <w:rFonts w:ascii="宋体" w:eastAsia="宋体" w:cs="宋体"/>
          <w:color w:val="auto"/>
          <w:sz w:val="24"/>
          <w:szCs w:val="24"/>
        </w:rPr>
      </w:pPr>
      <w:r>
        <w:rPr>
          <w:rFonts w:hint="eastAsia" w:ascii="宋体" w:hAnsi="宋体" w:cs="宋体"/>
          <w:color w:val="auto"/>
          <w:sz w:val="24"/>
          <w:szCs w:val="24"/>
        </w:rPr>
        <w:t xml:space="preserve"> </w:t>
      </w:r>
      <w:r>
        <w:rPr>
          <w:rFonts w:ascii="宋体" w:hAnsi="宋体" w:cs="宋体"/>
          <w:color w:val="auto"/>
          <w:sz w:val="24"/>
          <w:szCs w:val="24"/>
        </w:rPr>
        <w:t xml:space="preserve">2.SYSJ2-1-2 </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-1</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-2</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-3</w:t>
      </w:r>
      <w:r>
        <w:rPr>
          <w:rFonts w:hint="eastAsia" w:ascii="宋体" w:hAnsi="宋体" w:cs="仿宋_GB2312"/>
          <w:color w:val="auto"/>
          <w:sz w:val="24"/>
          <w:szCs w:val="24"/>
        </w:rPr>
        <w:t>、</w:t>
      </w:r>
      <w:r>
        <w:rPr>
          <w:rFonts w:ascii="宋体" w:hAnsi="宋体" w:cs="宋体"/>
          <w:color w:val="auto"/>
          <w:sz w:val="24"/>
          <w:szCs w:val="24"/>
        </w:rPr>
        <w:t>SYSJ2-</w:t>
      </w:r>
      <w:r>
        <w:rPr>
          <w:rFonts w:hint="eastAsia" w:ascii="宋体" w:hAnsi="宋体" w:cs="宋体"/>
          <w:color w:val="auto"/>
          <w:sz w:val="24"/>
          <w:szCs w:val="24"/>
        </w:rPr>
        <w:t>4</w:t>
      </w:r>
      <w:r>
        <w:rPr>
          <w:rFonts w:ascii="宋体" w:hAnsi="宋体" w:cs="宋体"/>
          <w:color w:val="auto"/>
          <w:sz w:val="24"/>
          <w:szCs w:val="24"/>
        </w:rPr>
        <w:t>-6</w:t>
      </w:r>
      <w:r>
        <w:rPr>
          <w:rFonts w:hint="eastAsia" w:ascii="宋体" w:hAnsi="宋体" w:cs="仿宋_GB2312"/>
          <w:color w:val="auto"/>
          <w:sz w:val="24"/>
          <w:szCs w:val="24"/>
        </w:rPr>
        <w:t>应依据有关部门的事故调查处理结果认定。质量事故、安全事故的等级划分标准执行《生产安全事故报告和调查处理条例》（国务院第</w:t>
      </w:r>
      <w:r>
        <w:rPr>
          <w:rFonts w:ascii="宋体" w:hAnsi="宋体" w:cs="宋体"/>
          <w:color w:val="auto"/>
          <w:sz w:val="24"/>
          <w:szCs w:val="24"/>
        </w:rPr>
        <w:t>493</w:t>
      </w:r>
      <w:r>
        <w:rPr>
          <w:rFonts w:hint="eastAsia" w:ascii="宋体" w:hAnsi="宋体" w:cs="仿宋_GB2312"/>
          <w:color w:val="auto"/>
          <w:sz w:val="24"/>
          <w:szCs w:val="24"/>
        </w:rPr>
        <w:t>号令）、《</w:t>
      </w:r>
      <w:r>
        <w:rPr>
          <w:rFonts w:hint="eastAsia" w:ascii="宋体" w:hAnsi="宋体" w:cs="仿宋_GB2312"/>
          <w:color w:val="auto"/>
          <w:sz w:val="24"/>
          <w:szCs w:val="24"/>
          <w:lang w:eastAsia="zh-CN"/>
        </w:rPr>
        <w:t>水运</w:t>
      </w:r>
      <w:r>
        <w:rPr>
          <w:rFonts w:hint="eastAsia" w:ascii="宋体" w:hAnsi="宋体" w:cs="仿宋_GB2312"/>
          <w:color w:val="auto"/>
          <w:sz w:val="24"/>
          <w:szCs w:val="24"/>
        </w:rPr>
        <w:t>水运建设工程质量事故等级划分和报告制度》（交办安监〔</w:t>
      </w:r>
      <w:r>
        <w:rPr>
          <w:rFonts w:hint="eastAsia" w:ascii="宋体" w:hAnsi="宋体" w:cs="宋体"/>
          <w:color w:val="auto"/>
          <w:sz w:val="24"/>
          <w:szCs w:val="24"/>
        </w:rPr>
        <w:t>2016</w:t>
      </w:r>
      <w:r>
        <w:rPr>
          <w:rFonts w:hint="eastAsia" w:ascii="宋体" w:hAnsi="宋体" w:cs="仿宋_GB2312"/>
          <w:color w:val="auto"/>
          <w:sz w:val="24"/>
          <w:szCs w:val="24"/>
        </w:rPr>
        <w:t>〕</w:t>
      </w:r>
      <w:r>
        <w:rPr>
          <w:rFonts w:hint="eastAsia" w:ascii="宋体" w:hAnsi="宋体" w:cs="宋体"/>
          <w:color w:val="auto"/>
          <w:sz w:val="24"/>
          <w:szCs w:val="24"/>
        </w:rPr>
        <w:t>146</w:t>
      </w:r>
      <w:r>
        <w:rPr>
          <w:rFonts w:hint="eastAsia" w:ascii="宋体" w:hAnsi="宋体" w:cs="仿宋_GB2312"/>
          <w:color w:val="auto"/>
          <w:sz w:val="24"/>
          <w:szCs w:val="24"/>
        </w:rPr>
        <w:t>号）等。</w:t>
      </w:r>
    </w:p>
    <w:p>
      <w:pPr>
        <w:spacing w:line="360" w:lineRule="auto"/>
        <w:rPr>
          <w:rFonts w:ascii="宋体" w:eastAsia="宋体" w:cs="宋体"/>
          <w:color w:val="auto"/>
          <w:sz w:val="24"/>
          <w:szCs w:val="24"/>
        </w:rPr>
      </w:pPr>
      <w:r>
        <w:rPr>
          <w:rFonts w:ascii="宋体" w:hAnsi="宋体" w:cs="宋体"/>
          <w:color w:val="auto"/>
          <w:sz w:val="24"/>
          <w:szCs w:val="24"/>
        </w:rPr>
        <w:t xml:space="preserve">    3.SYSJ2-2-1</w:t>
      </w:r>
      <w:r>
        <w:rPr>
          <w:rFonts w:hint="eastAsia" w:ascii="宋体" w:hAnsi="宋体" w:cs="仿宋_GB2312"/>
          <w:color w:val="auto"/>
          <w:sz w:val="24"/>
          <w:szCs w:val="24"/>
        </w:rPr>
        <w:t>、</w:t>
      </w:r>
      <w:r>
        <w:rPr>
          <w:rFonts w:ascii="宋体" w:hAnsi="宋体" w:cs="宋体"/>
          <w:color w:val="auto"/>
          <w:sz w:val="24"/>
          <w:szCs w:val="24"/>
        </w:rPr>
        <w:t>SYSJ2-2-</w:t>
      </w:r>
      <w:r>
        <w:rPr>
          <w:rFonts w:hint="eastAsia" w:ascii="宋体" w:hAnsi="宋体" w:cs="宋体"/>
          <w:color w:val="auto"/>
          <w:sz w:val="24"/>
          <w:szCs w:val="24"/>
        </w:rPr>
        <w:t>2、</w:t>
      </w:r>
      <w:r>
        <w:rPr>
          <w:rFonts w:ascii="宋体" w:hAnsi="宋体" w:cs="宋体"/>
          <w:color w:val="auto"/>
          <w:sz w:val="24"/>
          <w:szCs w:val="24"/>
        </w:rPr>
        <w:t>SYSJ2-2-</w:t>
      </w:r>
      <w:r>
        <w:rPr>
          <w:rFonts w:hint="eastAsia" w:ascii="宋体" w:hAnsi="宋体" w:cs="宋体"/>
          <w:color w:val="auto"/>
          <w:sz w:val="24"/>
          <w:szCs w:val="24"/>
        </w:rPr>
        <w:t>4</w:t>
      </w:r>
      <w:r>
        <w:rPr>
          <w:rFonts w:hint="eastAsia" w:ascii="宋体" w:hAnsi="宋体" w:cs="仿宋_GB2312"/>
          <w:color w:val="auto"/>
          <w:sz w:val="24"/>
          <w:szCs w:val="24"/>
        </w:rPr>
        <w:t>主要包括以下情形：</w:t>
      </w:r>
    </w:p>
    <w:p>
      <w:pPr>
        <w:spacing w:line="360" w:lineRule="auto"/>
        <w:ind w:firstLine="837" w:firstLineChars="34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1</w:t>
      </w:r>
      <w:r>
        <w:rPr>
          <w:rFonts w:hint="eastAsia" w:ascii="宋体" w:hAnsi="宋体" w:cs="仿宋_GB2312"/>
          <w:color w:val="auto"/>
          <w:sz w:val="24"/>
          <w:szCs w:val="24"/>
        </w:rPr>
        <w:t>）配备的项目负责人或专业负责人低于投标承诺的条件（包括职称、业绩、资历等）；</w:t>
      </w:r>
    </w:p>
    <w:p>
      <w:pPr>
        <w:spacing w:line="360" w:lineRule="auto"/>
        <w:ind w:firstLine="837" w:firstLineChars="349"/>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2</w:t>
      </w:r>
      <w:r>
        <w:rPr>
          <w:rFonts w:hint="eastAsia" w:ascii="宋体" w:hAnsi="宋体" w:cs="仿宋_GB2312"/>
          <w:color w:val="auto"/>
          <w:sz w:val="24"/>
          <w:szCs w:val="24"/>
        </w:rPr>
        <w:t>）配备的项目负责人或专业负责人不低于投标承诺的条件，但未经项目法人同意进行更换；</w:t>
      </w:r>
    </w:p>
    <w:p>
      <w:pPr>
        <w:spacing w:line="360" w:lineRule="auto"/>
        <w:ind w:left="826" w:leftChars="258"/>
        <w:rPr>
          <w:rFonts w:ascii="宋体" w:eastAsia="宋体" w:cs="宋体"/>
          <w:color w:val="auto"/>
          <w:sz w:val="24"/>
          <w:szCs w:val="24"/>
        </w:rPr>
      </w:pPr>
      <w:r>
        <w:rPr>
          <w:rFonts w:hint="eastAsia" w:ascii="宋体" w:hAnsi="宋体" w:cs="仿宋_GB2312"/>
          <w:color w:val="auto"/>
          <w:sz w:val="24"/>
          <w:szCs w:val="24"/>
        </w:rPr>
        <w:t>（</w:t>
      </w:r>
      <w:r>
        <w:rPr>
          <w:rFonts w:ascii="宋体" w:hAnsi="宋体" w:cs="宋体"/>
          <w:color w:val="auto"/>
          <w:sz w:val="24"/>
          <w:szCs w:val="24"/>
        </w:rPr>
        <w:t>3</w:t>
      </w:r>
      <w:r>
        <w:rPr>
          <w:rFonts w:hint="eastAsia" w:ascii="宋体" w:hAnsi="宋体" w:cs="仿宋_GB2312"/>
          <w:color w:val="auto"/>
          <w:sz w:val="24"/>
          <w:szCs w:val="24"/>
        </w:rPr>
        <w:t>）配备的项目负责人或专业负责人不低于投标承诺的条件，虽经过项目法人同意进行更换，但同一岗位更换人次数达到两次以上，从第二次变更开始扣分。</w:t>
      </w:r>
    </w:p>
    <w:p>
      <w:pPr>
        <w:spacing w:line="360" w:lineRule="auto"/>
        <w:ind w:firstLine="420"/>
        <w:rPr>
          <w:rFonts w:ascii="宋体" w:eastAsia="宋体" w:cs="宋体"/>
          <w:color w:val="auto"/>
          <w:sz w:val="24"/>
          <w:szCs w:val="24"/>
        </w:rPr>
      </w:pPr>
      <w:r>
        <w:rPr>
          <w:rFonts w:ascii="宋体" w:hAnsi="宋体" w:cs="宋体"/>
          <w:color w:val="auto"/>
          <w:sz w:val="24"/>
          <w:szCs w:val="24"/>
        </w:rPr>
        <w:t>4.SYSJ2-</w:t>
      </w:r>
      <w:r>
        <w:rPr>
          <w:rFonts w:hint="eastAsia" w:ascii="宋体" w:hAnsi="宋体" w:cs="宋体"/>
          <w:color w:val="auto"/>
          <w:sz w:val="24"/>
          <w:szCs w:val="24"/>
        </w:rPr>
        <w:t>5</w:t>
      </w:r>
      <w:r>
        <w:rPr>
          <w:rFonts w:ascii="宋体" w:hAnsi="宋体" w:cs="宋体"/>
          <w:color w:val="auto"/>
          <w:sz w:val="24"/>
          <w:szCs w:val="24"/>
        </w:rPr>
        <w:t>-2</w:t>
      </w:r>
      <w:r>
        <w:rPr>
          <w:rFonts w:hint="eastAsia" w:ascii="宋体" w:hAnsi="宋体" w:cs="仿宋_GB2312"/>
          <w:color w:val="auto"/>
          <w:sz w:val="24"/>
          <w:szCs w:val="24"/>
        </w:rPr>
        <w:t>应依据有关部门的事故调查处理结果认定。环境污染事故的等级划分标准执行《突发环境事件信息报告办法》（环境保护部</w:t>
      </w:r>
      <w:r>
        <w:rPr>
          <w:rFonts w:ascii="宋体" w:hAnsi="宋体" w:cs="宋体"/>
          <w:color w:val="auto"/>
          <w:sz w:val="24"/>
          <w:szCs w:val="24"/>
        </w:rPr>
        <w:t>2011</w:t>
      </w:r>
      <w:r>
        <w:rPr>
          <w:rFonts w:hint="eastAsia" w:ascii="宋体" w:hAnsi="宋体" w:cs="仿宋_GB2312"/>
          <w:color w:val="auto"/>
          <w:sz w:val="24"/>
          <w:szCs w:val="24"/>
        </w:rPr>
        <w:t>年第</w:t>
      </w:r>
      <w:r>
        <w:rPr>
          <w:rFonts w:ascii="宋体" w:hAnsi="宋体" w:cs="宋体"/>
          <w:color w:val="auto"/>
          <w:sz w:val="24"/>
          <w:szCs w:val="24"/>
        </w:rPr>
        <w:t>17</w:t>
      </w:r>
      <w:r>
        <w:rPr>
          <w:rFonts w:hint="eastAsia" w:ascii="宋体" w:hAnsi="宋体" w:cs="仿宋_GB2312"/>
          <w:color w:val="auto"/>
          <w:sz w:val="24"/>
          <w:szCs w:val="24"/>
        </w:rPr>
        <w:t>号令）。</w:t>
      </w:r>
    </w:p>
    <w:p>
      <w:pPr>
        <w:spacing w:line="360" w:lineRule="auto"/>
        <w:ind w:firstLine="420"/>
        <w:rPr>
          <w:rFonts w:ascii="宋体" w:eastAsia="宋体" w:cs="宋体"/>
          <w:color w:val="auto"/>
          <w:sz w:val="24"/>
          <w:szCs w:val="24"/>
        </w:rPr>
      </w:pPr>
      <w:r>
        <w:rPr>
          <w:rFonts w:ascii="宋体" w:hAnsi="宋体" w:cs="宋体"/>
          <w:color w:val="auto"/>
          <w:sz w:val="24"/>
          <w:szCs w:val="24"/>
        </w:rPr>
        <w:t>5.SYSJ3-1-1</w:t>
      </w:r>
      <w:r>
        <w:rPr>
          <w:rFonts w:hint="eastAsia" w:ascii="宋体" w:hAnsi="宋体" w:cs="仿宋_GB2312"/>
          <w:color w:val="auto"/>
          <w:sz w:val="24"/>
          <w:szCs w:val="24"/>
        </w:rPr>
        <w:t>是指在项目所在省份从事水运工程设计活动中发生的单位行贿、受贿行为。</w:t>
      </w:r>
    </w:p>
    <w:p>
      <w:pPr>
        <w:spacing w:line="360" w:lineRule="auto"/>
        <w:ind w:firstLine="420"/>
        <w:rPr>
          <w:rFonts w:ascii="宋体" w:eastAsia="宋体" w:cs="宋体"/>
          <w:color w:val="auto"/>
          <w:sz w:val="24"/>
          <w:szCs w:val="24"/>
        </w:rPr>
      </w:pPr>
      <w:r>
        <w:rPr>
          <w:rFonts w:ascii="宋体" w:hAnsi="宋体" w:cs="宋体"/>
          <w:color w:val="auto"/>
          <w:sz w:val="24"/>
          <w:szCs w:val="24"/>
        </w:rPr>
        <w:t>6. SYSJ3-2-4</w:t>
      </w:r>
      <w:r>
        <w:rPr>
          <w:rFonts w:hint="eastAsia" w:ascii="宋体" w:hAnsi="宋体" w:cs="仿宋_GB2312"/>
          <w:color w:val="auto"/>
          <w:sz w:val="24"/>
          <w:szCs w:val="24"/>
        </w:rPr>
        <w:t>、</w:t>
      </w:r>
      <w:r>
        <w:rPr>
          <w:rFonts w:ascii="宋体" w:hAnsi="宋体" w:cs="宋体"/>
          <w:color w:val="auto"/>
          <w:sz w:val="24"/>
          <w:szCs w:val="24"/>
        </w:rPr>
        <w:t>SYSJ3-2-5</w:t>
      </w:r>
      <w:r>
        <w:rPr>
          <w:rFonts w:hint="eastAsia" w:ascii="宋体" w:hAnsi="宋体" w:cs="仿宋_GB2312"/>
          <w:color w:val="auto"/>
          <w:sz w:val="24"/>
          <w:szCs w:val="24"/>
        </w:rPr>
        <w:t>当被省级（市级）以上交通运输主管部门或部属单位通报批评，涉及到标准中的具体失信行为时，不重复扣分，按“就高不就低”原则执行。</w:t>
      </w:r>
    </w:p>
    <w:p>
      <w:pPr>
        <w:spacing w:line="360" w:lineRule="auto"/>
        <w:ind w:firstLine="420"/>
        <w:rPr>
          <w:rFonts w:ascii="宋体" w:eastAsia="宋体" w:cs="宋体"/>
          <w:color w:val="auto"/>
          <w:sz w:val="24"/>
          <w:szCs w:val="24"/>
        </w:rPr>
      </w:pPr>
      <w:r>
        <w:rPr>
          <w:rFonts w:ascii="宋体" w:hAnsi="宋体" w:cs="宋体"/>
          <w:color w:val="auto"/>
          <w:sz w:val="24"/>
          <w:szCs w:val="24"/>
        </w:rPr>
        <w:t xml:space="preserve">7. </w:t>
      </w:r>
      <w:r>
        <w:rPr>
          <w:rFonts w:hint="eastAsia" w:ascii="宋体" w:hAnsi="宋体" w:cs="仿宋_GB2312"/>
          <w:color w:val="auto"/>
          <w:sz w:val="24"/>
          <w:szCs w:val="24"/>
        </w:rPr>
        <w:t>扣分</w:t>
      </w:r>
      <w:r>
        <w:rPr>
          <w:rFonts w:ascii="宋体" w:hAnsi="宋体" w:cs="宋体"/>
          <w:color w:val="auto"/>
          <w:sz w:val="24"/>
          <w:szCs w:val="24"/>
        </w:rPr>
        <w:t xml:space="preserve"> </w:t>
      </w:r>
      <w:r>
        <w:rPr>
          <w:rFonts w:hint="eastAsia" w:ascii="宋体" w:hAnsi="宋体" w:cs="仿宋_GB2312"/>
          <w:color w:val="auto"/>
          <w:sz w:val="24"/>
          <w:szCs w:val="24"/>
        </w:rPr>
        <w:t>“次”是指在评价期内发现的企业失信行为次数。企业失信行为能够整改的，整改期内不重复扣分，整改期满后，未整改或再次发生同一失信行为，可再次扣分；无法整改的，同一事件不重复扣分。</w:t>
      </w:r>
    </w:p>
    <w:p>
      <w:pPr>
        <w:rPr>
          <w:color w:val="auto"/>
          <w:szCs w:val="32"/>
        </w:rPr>
        <w:sectPr>
          <w:pgSz w:w="16838" w:h="11906" w:orient="landscape"/>
          <w:pgMar w:top="607" w:right="720" w:bottom="607" w:left="720" w:header="851" w:footer="992" w:gutter="0"/>
          <w:pgNumType w:fmt="decimal"/>
          <w:cols w:space="720" w:num="1"/>
          <w:rtlGutter w:val="0"/>
          <w:docGrid w:type="lines" w:linePitch="312" w:charSpace="0"/>
        </w:sectPr>
      </w:pPr>
    </w:p>
    <w:p>
      <w:pPr>
        <w:adjustRightInd w:val="0"/>
        <w:snapToGrid w:val="0"/>
        <w:spacing w:line="360" w:lineRule="auto"/>
        <w:rPr>
          <w:rFonts w:hint="eastAsia" w:ascii="黑体" w:hAnsi="黑体" w:eastAsia="黑体" w:cs="黑体"/>
          <w:color w:val="auto"/>
          <w:szCs w:val="32"/>
        </w:rPr>
      </w:pPr>
      <w:r>
        <w:rPr>
          <w:rFonts w:hint="eastAsia" w:ascii="黑体" w:hAnsi="黑体" w:eastAsia="黑体" w:cs="黑体"/>
          <w:color w:val="auto"/>
          <w:szCs w:val="32"/>
        </w:rPr>
        <w:t>附件</w:t>
      </w:r>
      <w:r>
        <w:rPr>
          <w:rFonts w:hint="eastAsia" w:ascii="黑体" w:hAnsi="黑体" w:eastAsia="黑体" w:cs="黑体"/>
          <w:color w:val="auto"/>
          <w:szCs w:val="32"/>
          <w:lang w:val="en-US" w:eastAsia="zh-CN"/>
        </w:rPr>
        <w:t>2-3</w:t>
      </w:r>
    </w:p>
    <w:p>
      <w:pPr>
        <w:adjustRightInd w:val="0"/>
        <w:snapToGrid w:val="0"/>
        <w:spacing w:line="360" w:lineRule="auto"/>
        <w:ind w:firstLine="720" w:firstLineChars="200"/>
        <w:jc w:val="center"/>
        <w:rPr>
          <w:rFonts w:ascii="黑体" w:hAnsi="黑体" w:eastAsia="黑体"/>
          <w:color w:val="auto"/>
          <w:sz w:val="36"/>
          <w:szCs w:val="36"/>
        </w:rPr>
      </w:pPr>
      <w:r>
        <w:rPr>
          <w:rFonts w:hint="eastAsia" w:ascii="黑体" w:hAnsi="黑体" w:eastAsia="黑体" w:cs="黑体"/>
          <w:color w:val="auto"/>
          <w:sz w:val="36"/>
          <w:szCs w:val="36"/>
        </w:rPr>
        <w:t>广东省水运工程</w:t>
      </w:r>
      <w:r>
        <w:rPr>
          <w:rFonts w:hint="eastAsia" w:ascii="黑体" w:hAnsi="黑体" w:eastAsia="黑体" w:cs="黑体"/>
          <w:color w:val="auto"/>
          <w:sz w:val="36"/>
          <w:szCs w:val="36"/>
          <w:lang w:val="en-US" w:eastAsia="zh-CN"/>
        </w:rPr>
        <w:t>从业单位</w:t>
      </w:r>
      <w:r>
        <w:rPr>
          <w:rFonts w:hint="eastAsia" w:ascii="黑体" w:hAnsi="黑体" w:eastAsia="黑体" w:cs="黑体"/>
          <w:color w:val="auto"/>
          <w:sz w:val="36"/>
          <w:szCs w:val="36"/>
        </w:rPr>
        <w:t>信用评价</w:t>
      </w:r>
    </w:p>
    <w:p>
      <w:pPr>
        <w:adjustRightInd w:val="0"/>
        <w:snapToGrid w:val="0"/>
        <w:spacing w:line="360" w:lineRule="auto"/>
        <w:ind w:firstLine="720" w:firstLineChars="200"/>
        <w:jc w:val="center"/>
        <w:rPr>
          <w:rFonts w:ascii="黑体" w:hAnsi="黑体" w:eastAsia="黑体"/>
          <w:color w:val="auto"/>
          <w:sz w:val="36"/>
          <w:szCs w:val="36"/>
        </w:rPr>
      </w:pPr>
      <w:r>
        <w:rPr>
          <w:rFonts w:hint="eastAsia" w:ascii="黑体" w:hAnsi="黑体" w:eastAsia="黑体" w:cs="黑体"/>
          <w:color w:val="auto"/>
          <w:sz w:val="36"/>
          <w:szCs w:val="36"/>
        </w:rPr>
        <w:t>评分计算方法</w:t>
      </w:r>
    </w:p>
    <w:p>
      <w:pPr>
        <w:spacing w:line="600" w:lineRule="exact"/>
        <w:jc w:val="center"/>
        <w:rPr>
          <w:rFonts w:hint="eastAsia" w:ascii="楷体" w:hAnsi="楷体" w:eastAsia="楷体" w:cs="楷体"/>
          <w:color w:val="auto"/>
          <w:sz w:val="28"/>
          <w:szCs w:val="28"/>
          <w:lang w:eastAsia="zh-CN"/>
        </w:rPr>
      </w:pPr>
      <w:r>
        <w:rPr>
          <w:rFonts w:hint="eastAsia" w:ascii="楷体" w:hAnsi="楷体" w:eastAsia="楷体" w:cs="楷体"/>
          <w:color w:val="auto"/>
          <w:sz w:val="28"/>
          <w:szCs w:val="28"/>
          <w:lang w:eastAsia="zh-CN"/>
        </w:rPr>
        <w:t>（</w:t>
      </w:r>
      <w:r>
        <w:rPr>
          <w:rFonts w:hint="eastAsia" w:ascii="楷体" w:hAnsi="楷体" w:eastAsia="楷体" w:cs="楷体"/>
          <w:color w:val="auto"/>
          <w:sz w:val="28"/>
          <w:szCs w:val="28"/>
          <w:lang w:val="en-US" w:eastAsia="zh-CN"/>
        </w:rPr>
        <w:t>适用于建设及代建单位</w:t>
      </w:r>
      <w:r>
        <w:rPr>
          <w:rFonts w:hint="eastAsia" w:ascii="楷体" w:hAnsi="楷体" w:eastAsia="楷体" w:cs="楷体"/>
          <w:color w:val="auto"/>
          <w:sz w:val="28"/>
          <w:szCs w:val="28"/>
          <w:lang w:eastAsia="zh-CN"/>
        </w:rPr>
        <w:t>）</w:t>
      </w:r>
    </w:p>
    <w:p>
      <w:pPr>
        <w:spacing w:line="600" w:lineRule="exact"/>
        <w:ind w:firstLine="560" w:firstLineChars="200"/>
        <w:rPr>
          <w:rFonts w:hint="eastAsia" w:ascii="黑体" w:hAnsi="黑体" w:eastAsia="黑体" w:cs="黑体"/>
          <w:color w:val="auto"/>
          <w:sz w:val="28"/>
          <w:szCs w:val="28"/>
        </w:rPr>
      </w:pPr>
      <w:r>
        <w:rPr>
          <w:rFonts w:hint="eastAsia" w:ascii="黑体" w:hAnsi="黑体" w:eastAsia="黑体" w:cs="黑体"/>
          <w:color w:val="auto"/>
          <w:sz w:val="28"/>
          <w:szCs w:val="28"/>
        </w:rPr>
        <w:t>一、基本原则</w:t>
      </w:r>
    </w:p>
    <w:p>
      <w:pPr>
        <w:spacing w:line="600" w:lineRule="exact"/>
        <w:ind w:firstLine="560" w:firstLineChars="200"/>
        <w:rPr>
          <w:rFonts w:hint="eastAsia" w:ascii="楷体" w:hAnsi="楷体" w:eastAsia="楷体" w:cs="楷体"/>
          <w:color w:val="auto"/>
          <w:sz w:val="28"/>
          <w:szCs w:val="28"/>
        </w:rPr>
      </w:pPr>
      <w:r>
        <w:rPr>
          <w:rFonts w:hint="eastAsia" w:ascii="楷体" w:hAnsi="楷体" w:eastAsia="楷体" w:cs="楷体"/>
          <w:color w:val="auto"/>
          <w:sz w:val="28"/>
          <w:szCs w:val="28"/>
          <w:lang w:val="en-US" w:eastAsia="zh-CN"/>
        </w:rPr>
        <w:t>建设单位及代建单位</w:t>
      </w:r>
      <w:r>
        <w:rPr>
          <w:rFonts w:hint="eastAsia" w:ascii="楷体" w:hAnsi="楷体" w:eastAsia="楷体" w:cs="楷体"/>
          <w:color w:val="auto"/>
          <w:sz w:val="28"/>
          <w:szCs w:val="28"/>
        </w:rPr>
        <w:t>信用评价总分值100分。计算方法为</w:t>
      </w:r>
      <w:r>
        <w:rPr>
          <w:rFonts w:hint="eastAsia" w:ascii="楷体" w:hAnsi="楷体" w:eastAsia="楷体" w:cs="楷体"/>
          <w:color w:val="auto"/>
          <w:sz w:val="28"/>
          <w:szCs w:val="28"/>
          <w:lang w:val="en-US" w:eastAsia="zh-CN"/>
        </w:rPr>
        <w:t>按发生失信行为及良好行为的标准累计计算。</w:t>
      </w:r>
    </w:p>
    <w:p>
      <w:pPr>
        <w:numPr>
          <w:ilvl w:val="0"/>
          <w:numId w:val="1"/>
        </w:numPr>
        <w:spacing w:line="600" w:lineRule="exact"/>
        <w:ind w:firstLine="560" w:firstLineChars="200"/>
        <w:rPr>
          <w:rFonts w:hint="eastAsia" w:ascii="黑体" w:hAnsi="黑体" w:eastAsia="黑体" w:cs="黑体"/>
          <w:color w:val="auto"/>
          <w:sz w:val="28"/>
          <w:szCs w:val="28"/>
        </w:rPr>
      </w:pPr>
      <w:r>
        <w:rPr>
          <w:rFonts w:hint="eastAsia" w:ascii="黑体" w:hAnsi="黑体" w:eastAsia="黑体" w:cs="黑体"/>
          <w:color w:val="auto"/>
          <w:sz w:val="28"/>
          <w:szCs w:val="28"/>
        </w:rPr>
        <w:t>计算流程</w:t>
      </w:r>
    </w:p>
    <w:p>
      <w:pPr>
        <w:adjustRightInd w:val="0"/>
        <w:spacing w:line="600" w:lineRule="exact"/>
        <w:ind w:firstLine="420" w:firstLineChars="150"/>
        <w:rPr>
          <w:rFonts w:hint="eastAsia" w:ascii="楷体" w:hAnsi="楷体" w:eastAsia="楷体" w:cs="楷体"/>
          <w:color w:val="auto"/>
          <w:sz w:val="28"/>
          <w:szCs w:val="28"/>
        </w:rPr>
      </w:pPr>
      <w:r>
        <w:rPr>
          <w:rFonts w:hint="eastAsia" w:ascii="楷体" w:hAnsi="楷体" w:eastAsia="楷体" w:cs="楷体"/>
          <w:color w:val="auto"/>
          <w:sz w:val="28"/>
          <w:szCs w:val="28"/>
          <w:lang w:eastAsia="zh-CN"/>
        </w:rPr>
        <w:t>（</w:t>
      </w:r>
      <w:r>
        <w:rPr>
          <w:rFonts w:hint="eastAsia" w:ascii="楷体" w:hAnsi="楷体" w:eastAsia="楷体" w:cs="楷体"/>
          <w:color w:val="auto"/>
          <w:sz w:val="28"/>
          <w:szCs w:val="28"/>
          <w:lang w:val="en-US" w:eastAsia="zh-CN"/>
        </w:rPr>
        <w:t>1</w:t>
      </w:r>
      <w:r>
        <w:rPr>
          <w:rFonts w:hint="eastAsia" w:ascii="楷体" w:hAnsi="楷体" w:eastAsia="楷体" w:cs="楷体"/>
          <w:color w:val="auto"/>
          <w:sz w:val="28"/>
          <w:szCs w:val="28"/>
          <w:lang w:eastAsia="zh-CN"/>
        </w:rPr>
        <w:t>）</w:t>
      </w:r>
      <w:r>
        <w:rPr>
          <w:rFonts w:hint="eastAsia" w:ascii="楷体" w:hAnsi="楷体" w:eastAsia="楷体" w:cs="楷体"/>
          <w:color w:val="auto"/>
          <w:sz w:val="28"/>
          <w:szCs w:val="28"/>
          <w:lang w:val="en-US" w:eastAsia="zh-CN"/>
        </w:rPr>
        <w:t>建设单位信用</w:t>
      </w:r>
      <w:r>
        <w:rPr>
          <w:rFonts w:hint="eastAsia" w:ascii="楷体" w:hAnsi="楷体" w:eastAsia="楷体" w:cs="楷体"/>
          <w:color w:val="auto"/>
          <w:sz w:val="28"/>
          <w:szCs w:val="28"/>
        </w:rPr>
        <w:t>评价得分：</w:t>
      </w:r>
      <w:r>
        <w:rPr>
          <w:rFonts w:hint="eastAsia" w:ascii="楷体" w:hAnsi="楷体" w:eastAsia="楷体" w:cs="楷体"/>
          <w:color w:val="auto"/>
          <w:position w:val="-4"/>
          <w:sz w:val="28"/>
          <w:szCs w:val="28"/>
        </w:rPr>
        <w:drawing>
          <wp:inline distT="0" distB="0" distL="114300" distR="114300">
            <wp:extent cx="181610" cy="167005"/>
            <wp:effectExtent l="0" t="0" r="1270" b="635"/>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pic:cNvPicPr>
                      <a:picLocks noChangeAspect="1"/>
                    </pic:cNvPicPr>
                  </pic:nvPicPr>
                  <pic:blipFill>
                    <a:blip r:embed="rId8"/>
                    <a:stretch>
                      <a:fillRect/>
                    </a:stretch>
                  </pic:blipFill>
                  <pic:spPr>
                    <a:xfrm>
                      <a:off x="0" y="0"/>
                      <a:ext cx="181610" cy="167005"/>
                    </a:xfrm>
                    <a:prstGeom prst="rect">
                      <a:avLst/>
                    </a:prstGeom>
                    <a:noFill/>
                    <a:ln w="9525">
                      <a:noFill/>
                    </a:ln>
                  </pic:spPr>
                </pic:pic>
              </a:graphicData>
            </a:graphic>
          </wp:inline>
        </w:drawing>
      </w:r>
      <w:r>
        <w:rPr>
          <w:rFonts w:hint="eastAsia" w:ascii="楷体" w:hAnsi="楷体" w:eastAsia="楷体" w:cs="楷体"/>
          <w:color w:val="auto"/>
          <w:sz w:val="28"/>
          <w:szCs w:val="28"/>
        </w:rPr>
        <w:t>=</w:t>
      </w:r>
      <w:r>
        <w:rPr>
          <w:rFonts w:hint="eastAsia" w:ascii="楷体" w:hAnsi="楷体" w:eastAsia="楷体" w:cs="楷体"/>
          <w:color w:val="auto"/>
          <w:sz w:val="28"/>
          <w:szCs w:val="28"/>
          <w:lang w:val="en-US" w:eastAsia="zh-CN"/>
        </w:rPr>
        <w:t>100</w:t>
      </w:r>
      <w:r>
        <w:rPr>
          <w:rFonts w:hint="eastAsia" w:ascii="楷体" w:hAnsi="楷体" w:eastAsia="楷体" w:cs="楷体"/>
          <w:color w:val="auto"/>
          <w:sz w:val="28"/>
          <w:szCs w:val="28"/>
        </w:rPr>
        <w:t>-</w:t>
      </w:r>
      <w:r>
        <w:rPr>
          <w:rFonts w:hint="eastAsia" w:ascii="楷体" w:hAnsi="楷体" w:eastAsia="楷体" w:cs="楷体"/>
          <w:color w:val="auto"/>
          <w:position w:val="-28"/>
          <w:sz w:val="28"/>
          <w:szCs w:val="28"/>
        </w:rPr>
        <w:drawing>
          <wp:inline distT="0" distB="0" distL="114300" distR="114300">
            <wp:extent cx="292100" cy="427355"/>
            <wp:effectExtent l="0" t="0" r="0" b="14605"/>
            <wp:docPr id="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pic:cNvPicPr>
                      <a:picLocks noChangeAspect="1"/>
                    </pic:cNvPicPr>
                  </pic:nvPicPr>
                  <pic:blipFill>
                    <a:blip r:embed="rId9"/>
                    <a:stretch>
                      <a:fillRect/>
                    </a:stretch>
                  </pic:blipFill>
                  <pic:spPr>
                    <a:xfrm>
                      <a:off x="0" y="0"/>
                      <a:ext cx="292100" cy="427355"/>
                    </a:xfrm>
                    <a:prstGeom prst="rect">
                      <a:avLst/>
                    </a:prstGeom>
                    <a:noFill/>
                    <a:ln w="9525">
                      <a:noFill/>
                    </a:ln>
                  </pic:spPr>
                </pic:pic>
              </a:graphicData>
            </a:graphic>
          </wp:inline>
        </w:drawing>
      </w:r>
      <w:r>
        <w:rPr>
          <w:rFonts w:hint="eastAsia" w:ascii="楷体" w:hAnsi="楷体" w:eastAsia="楷体" w:cs="楷体"/>
          <w:color w:val="auto"/>
          <w:sz w:val="28"/>
          <w:szCs w:val="28"/>
          <w:lang w:val="en-US" w:eastAsia="zh-CN"/>
        </w:rPr>
        <w:t>L</w:t>
      </w:r>
      <w:r>
        <w:rPr>
          <w:rFonts w:hint="eastAsia" w:ascii="楷体" w:hAnsi="楷体" w:eastAsia="楷体" w:cs="楷体"/>
          <w:color w:val="auto"/>
          <w:position w:val="-6"/>
          <w:sz w:val="28"/>
          <w:szCs w:val="28"/>
        </w:rPr>
        <w:drawing>
          <wp:inline distT="0" distB="0" distL="114300" distR="114300">
            <wp:extent cx="86360" cy="166370"/>
            <wp:effectExtent l="0" t="0" r="5080" b="0"/>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10"/>
                    <a:stretch>
                      <a:fillRect/>
                    </a:stretch>
                  </pic:blipFill>
                  <pic:spPr>
                    <a:xfrm>
                      <a:off x="0" y="0"/>
                      <a:ext cx="86360" cy="166370"/>
                    </a:xfrm>
                    <a:prstGeom prst="rect">
                      <a:avLst/>
                    </a:prstGeom>
                    <a:noFill/>
                    <a:ln w="9525">
                      <a:noFill/>
                    </a:ln>
                  </pic:spPr>
                </pic:pic>
              </a:graphicData>
            </a:graphic>
          </wp:inline>
        </w:drawing>
      </w:r>
      <w:r>
        <w:rPr>
          <w:rFonts w:hint="eastAsia" w:ascii="楷体" w:hAnsi="楷体" w:eastAsia="楷体" w:cs="楷体"/>
          <w:color w:val="auto"/>
          <w:sz w:val="28"/>
          <w:szCs w:val="28"/>
        </w:rPr>
        <w:t>-</w:t>
      </w:r>
      <w:r>
        <w:rPr>
          <w:rFonts w:hint="eastAsia" w:ascii="楷体" w:hAnsi="楷体" w:eastAsia="楷体" w:cs="楷体"/>
          <w:color w:val="auto"/>
          <w:position w:val="-28"/>
          <w:sz w:val="28"/>
          <w:szCs w:val="28"/>
        </w:rPr>
        <w:drawing>
          <wp:inline distT="0" distB="0" distL="114300" distR="114300">
            <wp:extent cx="292100" cy="427355"/>
            <wp:effectExtent l="0" t="0" r="0" b="14605"/>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9"/>
                    <a:stretch>
                      <a:fillRect/>
                    </a:stretch>
                  </pic:blipFill>
                  <pic:spPr>
                    <a:xfrm>
                      <a:off x="0" y="0"/>
                      <a:ext cx="292100" cy="427355"/>
                    </a:xfrm>
                    <a:prstGeom prst="rect">
                      <a:avLst/>
                    </a:prstGeom>
                    <a:noFill/>
                    <a:ln w="9525">
                      <a:noFill/>
                    </a:ln>
                  </pic:spPr>
                </pic:pic>
              </a:graphicData>
            </a:graphic>
          </wp:inline>
        </w:drawing>
      </w:r>
      <w:r>
        <w:rPr>
          <w:rFonts w:hint="eastAsia" w:ascii="楷体" w:hAnsi="楷体" w:eastAsia="楷体" w:cs="楷体"/>
          <w:color w:val="auto"/>
          <w:sz w:val="28"/>
          <w:szCs w:val="28"/>
        </w:rPr>
        <w:t>Q</w:t>
      </w:r>
      <w:r>
        <w:rPr>
          <w:rFonts w:hint="eastAsia" w:ascii="楷体" w:hAnsi="楷体" w:eastAsia="楷体" w:cs="楷体"/>
          <w:color w:val="auto"/>
          <w:position w:val="-6"/>
          <w:sz w:val="28"/>
          <w:szCs w:val="28"/>
        </w:rPr>
        <w:drawing>
          <wp:inline distT="0" distB="0" distL="114300" distR="114300">
            <wp:extent cx="86360" cy="166370"/>
            <wp:effectExtent l="0" t="0" r="5080" b="0"/>
            <wp:docPr id="1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pic:cNvPicPr>
                      <a:picLocks noChangeAspect="1"/>
                    </pic:cNvPicPr>
                  </pic:nvPicPr>
                  <pic:blipFill>
                    <a:blip r:embed="rId10"/>
                    <a:stretch>
                      <a:fillRect/>
                    </a:stretch>
                  </pic:blipFill>
                  <pic:spPr>
                    <a:xfrm>
                      <a:off x="0" y="0"/>
                      <a:ext cx="86360" cy="166370"/>
                    </a:xfrm>
                    <a:prstGeom prst="rect">
                      <a:avLst/>
                    </a:prstGeom>
                    <a:noFill/>
                    <a:ln w="9525">
                      <a:noFill/>
                    </a:ln>
                  </pic:spPr>
                </pic:pic>
              </a:graphicData>
            </a:graphic>
          </wp:inline>
        </w:drawing>
      </w:r>
      <w:r>
        <w:rPr>
          <w:rFonts w:hint="eastAsia" w:ascii="楷体" w:hAnsi="楷体" w:eastAsia="楷体" w:cs="楷体"/>
          <w:color w:val="auto"/>
          <w:sz w:val="28"/>
          <w:szCs w:val="28"/>
        </w:rPr>
        <w:t>+</w:t>
      </w:r>
      <w:r>
        <w:rPr>
          <w:rFonts w:hint="eastAsia" w:ascii="楷体" w:hAnsi="楷体" w:eastAsia="楷体" w:cs="楷体"/>
          <w:color w:val="auto"/>
          <w:position w:val="-28"/>
          <w:sz w:val="28"/>
          <w:szCs w:val="28"/>
        </w:rPr>
        <w:drawing>
          <wp:inline distT="0" distB="0" distL="114300" distR="114300">
            <wp:extent cx="292100" cy="427355"/>
            <wp:effectExtent l="0" t="0" r="0" b="14605"/>
            <wp:docPr id="1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6"/>
                    <pic:cNvPicPr>
                      <a:picLocks noChangeAspect="1"/>
                    </pic:cNvPicPr>
                  </pic:nvPicPr>
                  <pic:blipFill>
                    <a:blip r:embed="rId9"/>
                    <a:stretch>
                      <a:fillRect/>
                    </a:stretch>
                  </pic:blipFill>
                  <pic:spPr>
                    <a:xfrm>
                      <a:off x="0" y="0"/>
                      <a:ext cx="292100" cy="427355"/>
                    </a:xfrm>
                    <a:prstGeom prst="rect">
                      <a:avLst/>
                    </a:prstGeom>
                    <a:noFill/>
                    <a:ln w="9525">
                      <a:noFill/>
                    </a:ln>
                  </pic:spPr>
                </pic:pic>
              </a:graphicData>
            </a:graphic>
          </wp:inline>
        </w:drawing>
      </w:r>
      <w:r>
        <w:rPr>
          <w:rFonts w:hint="eastAsia" w:ascii="楷体" w:hAnsi="楷体" w:eastAsia="楷体" w:cs="楷体"/>
          <w:color w:val="auto"/>
          <w:sz w:val="28"/>
          <w:szCs w:val="28"/>
        </w:rPr>
        <w:t>J</w:t>
      </w:r>
      <w:r>
        <w:rPr>
          <w:rFonts w:hint="eastAsia" w:ascii="楷体" w:hAnsi="楷体" w:eastAsia="楷体" w:cs="楷体"/>
          <w:color w:val="auto"/>
          <w:position w:val="-6"/>
          <w:sz w:val="28"/>
          <w:szCs w:val="28"/>
        </w:rPr>
        <w:drawing>
          <wp:inline distT="0" distB="0" distL="114300" distR="114300">
            <wp:extent cx="86360" cy="166370"/>
            <wp:effectExtent l="0" t="0" r="5080" b="0"/>
            <wp:docPr id="1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7"/>
                    <pic:cNvPicPr>
                      <a:picLocks noChangeAspect="1"/>
                    </pic:cNvPicPr>
                  </pic:nvPicPr>
                  <pic:blipFill>
                    <a:blip r:embed="rId10"/>
                    <a:stretch>
                      <a:fillRect/>
                    </a:stretch>
                  </pic:blipFill>
                  <pic:spPr>
                    <a:xfrm>
                      <a:off x="0" y="0"/>
                      <a:ext cx="86360" cy="166370"/>
                    </a:xfrm>
                    <a:prstGeom prst="rect">
                      <a:avLst/>
                    </a:prstGeom>
                    <a:noFill/>
                    <a:ln w="9525">
                      <a:noFill/>
                    </a:ln>
                  </pic:spPr>
                </pic:pic>
              </a:graphicData>
            </a:graphic>
          </wp:inline>
        </w:drawing>
      </w:r>
    </w:p>
    <w:p>
      <w:pPr>
        <w:adjustRightInd w:val="0"/>
        <w:spacing w:line="600" w:lineRule="exact"/>
        <w:ind w:firstLine="1111" w:firstLineChars="397"/>
        <w:rPr>
          <w:rFonts w:hint="eastAsia" w:ascii="楷体" w:hAnsi="楷体" w:eastAsia="楷体" w:cs="楷体"/>
          <w:color w:val="auto"/>
          <w:sz w:val="28"/>
          <w:szCs w:val="28"/>
        </w:rPr>
      </w:pPr>
      <w:r>
        <w:rPr>
          <w:rFonts w:hint="eastAsia" w:ascii="楷体" w:hAnsi="楷体" w:eastAsia="楷体" w:cs="楷体"/>
          <w:color w:val="auto"/>
          <w:sz w:val="28"/>
          <w:szCs w:val="28"/>
        </w:rPr>
        <w:t>其中，</w:t>
      </w:r>
      <w:r>
        <w:rPr>
          <w:rFonts w:hint="eastAsia" w:ascii="楷体" w:hAnsi="楷体" w:eastAsia="楷体" w:cs="楷体"/>
          <w:color w:val="auto"/>
          <w:sz w:val="28"/>
          <w:szCs w:val="28"/>
          <w:lang w:val="en-US" w:eastAsia="zh-CN"/>
        </w:rPr>
        <w:t>100</w:t>
      </w:r>
      <w:r>
        <w:rPr>
          <w:rFonts w:hint="eastAsia" w:ascii="楷体" w:hAnsi="楷体" w:eastAsia="楷体" w:cs="楷体"/>
          <w:color w:val="auto"/>
          <w:sz w:val="28"/>
          <w:szCs w:val="28"/>
        </w:rPr>
        <w:t>≥T≥0；</w:t>
      </w:r>
    </w:p>
    <w:p>
      <w:pPr>
        <w:adjustRightInd w:val="0"/>
        <w:spacing w:line="600" w:lineRule="exact"/>
        <w:ind w:firstLine="1951" w:firstLineChars="697"/>
        <w:rPr>
          <w:rFonts w:hint="eastAsia" w:ascii="楷体" w:hAnsi="楷体" w:eastAsia="楷体" w:cs="楷体"/>
          <w:color w:val="auto"/>
          <w:sz w:val="28"/>
          <w:szCs w:val="28"/>
        </w:rPr>
      </w:pPr>
      <w:r>
        <w:rPr>
          <w:rFonts w:hint="eastAsia" w:ascii="楷体" w:hAnsi="楷体" w:eastAsia="楷体" w:cs="楷体"/>
          <w:color w:val="auto"/>
          <w:sz w:val="28"/>
          <w:szCs w:val="28"/>
        </w:rPr>
        <w:t>i为评价周期内不良履约行为</w:t>
      </w:r>
      <w:r>
        <w:rPr>
          <w:rFonts w:hint="eastAsia" w:ascii="楷体" w:hAnsi="楷体" w:eastAsia="楷体" w:cs="楷体"/>
          <w:color w:val="auto"/>
          <w:sz w:val="28"/>
          <w:szCs w:val="28"/>
          <w:lang w:val="en-US" w:eastAsia="zh-CN"/>
        </w:rPr>
        <w:t>或良好履约行为</w:t>
      </w:r>
      <w:r>
        <w:rPr>
          <w:rFonts w:hint="eastAsia" w:ascii="楷体" w:hAnsi="楷体" w:eastAsia="楷体" w:cs="楷体"/>
          <w:color w:val="auto"/>
          <w:sz w:val="28"/>
          <w:szCs w:val="28"/>
        </w:rPr>
        <w:t>数量；</w:t>
      </w:r>
    </w:p>
    <w:p>
      <w:pPr>
        <w:adjustRightInd w:val="0"/>
        <w:spacing w:line="600" w:lineRule="exact"/>
        <w:ind w:firstLine="1951" w:firstLineChars="697"/>
        <w:rPr>
          <w:rFonts w:hint="eastAsia" w:ascii="楷体" w:hAnsi="楷体" w:eastAsia="楷体" w:cs="楷体"/>
          <w:color w:val="auto"/>
          <w:sz w:val="28"/>
          <w:szCs w:val="28"/>
        </w:rPr>
      </w:pPr>
      <w:r>
        <w:rPr>
          <w:rFonts w:hint="eastAsia" w:ascii="楷体" w:hAnsi="楷体" w:eastAsia="楷体" w:cs="楷体"/>
          <w:color w:val="auto"/>
          <w:sz w:val="28"/>
          <w:szCs w:val="28"/>
          <w:lang w:val="en-US" w:eastAsia="zh-CN"/>
        </w:rPr>
        <w:t>L</w:t>
      </w:r>
      <w:r>
        <w:rPr>
          <w:rFonts w:hint="eastAsia" w:ascii="楷体" w:hAnsi="楷体" w:eastAsia="楷体" w:cs="楷体"/>
          <w:color w:val="auto"/>
          <w:position w:val="-6"/>
          <w:sz w:val="28"/>
          <w:szCs w:val="28"/>
        </w:rPr>
        <w:drawing>
          <wp:inline distT="0" distB="0" distL="114300" distR="114300">
            <wp:extent cx="86360" cy="166370"/>
            <wp:effectExtent l="0" t="0" r="5080" b="0"/>
            <wp:docPr id="1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8"/>
                    <pic:cNvPicPr>
                      <a:picLocks noChangeAspect="1"/>
                    </pic:cNvPicPr>
                  </pic:nvPicPr>
                  <pic:blipFill>
                    <a:blip r:embed="rId10"/>
                    <a:stretch>
                      <a:fillRect/>
                    </a:stretch>
                  </pic:blipFill>
                  <pic:spPr>
                    <a:xfrm>
                      <a:off x="0" y="0"/>
                      <a:ext cx="86360" cy="166370"/>
                    </a:xfrm>
                    <a:prstGeom prst="rect">
                      <a:avLst/>
                    </a:prstGeom>
                    <a:noFill/>
                    <a:ln w="9525">
                      <a:noFill/>
                    </a:ln>
                  </pic:spPr>
                </pic:pic>
              </a:graphicData>
            </a:graphic>
          </wp:inline>
        </w:drawing>
      </w:r>
      <w:r>
        <w:rPr>
          <w:rFonts w:hint="eastAsia" w:ascii="楷体" w:hAnsi="楷体" w:eastAsia="楷体" w:cs="楷体"/>
          <w:color w:val="auto"/>
          <w:sz w:val="28"/>
          <w:szCs w:val="28"/>
        </w:rPr>
        <w:t>为不良履约行为对应的扣分标准。</w:t>
      </w:r>
    </w:p>
    <w:p>
      <w:pPr>
        <w:adjustRightInd w:val="0"/>
        <w:spacing w:line="600" w:lineRule="exact"/>
        <w:ind w:firstLine="420" w:firstLineChars="150"/>
        <w:rPr>
          <w:rFonts w:hint="eastAsia" w:ascii="楷体" w:hAnsi="楷体" w:eastAsia="楷体" w:cs="楷体"/>
          <w:color w:val="auto"/>
          <w:sz w:val="28"/>
          <w:szCs w:val="28"/>
        </w:rPr>
      </w:pPr>
      <w:r>
        <w:rPr>
          <w:rFonts w:hint="eastAsia" w:ascii="楷体" w:hAnsi="楷体" w:eastAsia="楷体" w:cs="楷体"/>
          <w:color w:val="auto"/>
          <w:sz w:val="28"/>
          <w:szCs w:val="28"/>
        </w:rPr>
        <w:t xml:space="preserve"> </w:t>
      </w:r>
      <w:r>
        <w:rPr>
          <w:rFonts w:hint="eastAsia" w:ascii="楷体" w:hAnsi="楷体" w:eastAsia="楷体" w:cs="楷体"/>
          <w:color w:val="auto"/>
          <w:sz w:val="28"/>
          <w:szCs w:val="28"/>
          <w:lang w:val="en-US" w:eastAsia="zh-CN"/>
        </w:rPr>
        <w:t>建设（代建）单位</w:t>
      </w:r>
      <w:r>
        <w:rPr>
          <w:rFonts w:hint="eastAsia" w:ascii="楷体" w:hAnsi="楷体" w:eastAsia="楷体" w:cs="楷体"/>
          <w:color w:val="auto"/>
          <w:sz w:val="28"/>
          <w:szCs w:val="28"/>
        </w:rPr>
        <w:t>省级综合评分为</w:t>
      </w:r>
      <w:r>
        <w:rPr>
          <w:rFonts w:hint="eastAsia" w:ascii="楷体" w:hAnsi="楷体" w:eastAsia="楷体" w:cs="楷体"/>
          <w:color w:val="auto"/>
          <w:position w:val="-4"/>
          <w:sz w:val="28"/>
          <w:szCs w:val="28"/>
        </w:rPr>
        <w:drawing>
          <wp:inline distT="0" distB="0" distL="114300" distR="114300">
            <wp:extent cx="181610" cy="167005"/>
            <wp:effectExtent l="0" t="0" r="1270" b="635"/>
            <wp:docPr id="1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9"/>
                    <pic:cNvPicPr>
                      <a:picLocks noChangeAspect="1"/>
                    </pic:cNvPicPr>
                  </pic:nvPicPr>
                  <pic:blipFill>
                    <a:blip r:embed="rId8"/>
                    <a:stretch>
                      <a:fillRect/>
                    </a:stretch>
                  </pic:blipFill>
                  <pic:spPr>
                    <a:xfrm>
                      <a:off x="0" y="0"/>
                      <a:ext cx="181610" cy="167005"/>
                    </a:xfrm>
                    <a:prstGeom prst="rect">
                      <a:avLst/>
                    </a:prstGeom>
                    <a:noFill/>
                    <a:ln w="9525">
                      <a:noFill/>
                    </a:ln>
                  </pic:spPr>
                </pic:pic>
              </a:graphicData>
            </a:graphic>
          </wp:inline>
        </w:drawing>
      </w:r>
      <w:r>
        <w:rPr>
          <w:rFonts w:hint="eastAsia" w:ascii="楷体" w:hAnsi="楷体" w:eastAsia="楷体" w:cs="楷体"/>
          <w:color w:val="auto"/>
          <w:position w:val="-4"/>
          <w:sz w:val="28"/>
          <w:szCs w:val="28"/>
          <w:lang w:eastAsia="zh-CN"/>
        </w:rPr>
        <w:t>，</w:t>
      </w:r>
      <w:r>
        <w:rPr>
          <w:rFonts w:hint="eastAsia" w:ascii="楷体" w:hAnsi="楷体" w:eastAsia="楷体" w:cs="楷体"/>
          <w:color w:val="auto"/>
          <w:position w:val="-4"/>
          <w:sz w:val="28"/>
          <w:szCs w:val="28"/>
          <w:lang w:val="en-US" w:eastAsia="zh-CN"/>
        </w:rPr>
        <w:t>且</w:t>
      </w:r>
      <w:r>
        <w:rPr>
          <w:rFonts w:hint="eastAsia" w:ascii="楷体" w:hAnsi="楷体" w:eastAsia="楷体" w:cs="楷体"/>
          <w:color w:val="auto"/>
          <w:sz w:val="28"/>
          <w:szCs w:val="28"/>
          <w:lang w:val="en-US" w:eastAsia="zh-CN"/>
        </w:rPr>
        <w:t>0</w:t>
      </w:r>
      <w:r>
        <w:rPr>
          <w:rFonts w:hint="eastAsia" w:ascii="楷体" w:hAnsi="楷体" w:eastAsia="楷体" w:cs="楷体"/>
          <w:color w:val="auto"/>
          <w:sz w:val="28"/>
          <w:szCs w:val="28"/>
        </w:rPr>
        <w:t>≤</w:t>
      </w:r>
      <w:r>
        <w:rPr>
          <w:rFonts w:hint="eastAsia" w:ascii="楷体" w:hAnsi="楷体" w:eastAsia="楷体" w:cs="楷体"/>
          <w:color w:val="auto"/>
          <w:position w:val="-4"/>
          <w:sz w:val="28"/>
          <w:szCs w:val="28"/>
        </w:rPr>
        <w:drawing>
          <wp:inline distT="0" distB="0" distL="114300" distR="114300">
            <wp:extent cx="182880" cy="158115"/>
            <wp:effectExtent l="0" t="0" r="0" b="10160"/>
            <wp:docPr id="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
                    <pic:cNvPicPr>
                      <a:picLocks noChangeAspect="1"/>
                    </pic:cNvPicPr>
                  </pic:nvPicPr>
                  <pic:blipFill>
                    <a:blip r:embed="rId8"/>
                    <a:stretch>
                      <a:fillRect/>
                    </a:stretch>
                  </pic:blipFill>
                  <pic:spPr>
                    <a:xfrm>
                      <a:off x="0" y="0"/>
                      <a:ext cx="182880" cy="158115"/>
                    </a:xfrm>
                    <a:prstGeom prst="rect">
                      <a:avLst/>
                    </a:prstGeom>
                    <a:noFill/>
                    <a:ln w="9525">
                      <a:noFill/>
                    </a:ln>
                  </pic:spPr>
                </pic:pic>
              </a:graphicData>
            </a:graphic>
          </wp:inline>
        </w:drawing>
      </w:r>
      <w:r>
        <w:rPr>
          <w:rFonts w:hint="eastAsia" w:ascii="楷体" w:hAnsi="楷体" w:eastAsia="楷体" w:cs="楷体"/>
          <w:color w:val="auto"/>
          <w:sz w:val="28"/>
          <w:szCs w:val="28"/>
        </w:rPr>
        <w:t>≤100，</w:t>
      </w:r>
      <w:r>
        <w:rPr>
          <w:rFonts w:hint="eastAsia" w:ascii="楷体" w:hAnsi="楷体" w:eastAsia="楷体" w:cs="楷体"/>
          <w:color w:val="auto"/>
          <w:sz w:val="28"/>
          <w:szCs w:val="28"/>
          <w:lang w:val="en-US" w:eastAsia="zh-CN"/>
        </w:rPr>
        <w:t>L</w:t>
      </w:r>
      <w:r>
        <w:rPr>
          <w:rFonts w:hint="eastAsia" w:ascii="楷体" w:hAnsi="楷体" w:eastAsia="楷体" w:cs="楷体"/>
          <w:color w:val="auto"/>
          <w:position w:val="-6"/>
          <w:sz w:val="28"/>
          <w:szCs w:val="28"/>
        </w:rPr>
        <w:drawing>
          <wp:inline distT="0" distB="0" distL="114300" distR="114300">
            <wp:extent cx="86360" cy="166370"/>
            <wp:effectExtent l="0" t="0" r="5080" b="0"/>
            <wp:docPr id="8"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1"/>
                    <pic:cNvPicPr>
                      <a:picLocks noChangeAspect="1"/>
                    </pic:cNvPicPr>
                  </pic:nvPicPr>
                  <pic:blipFill>
                    <a:blip r:embed="rId10"/>
                    <a:stretch>
                      <a:fillRect/>
                    </a:stretch>
                  </pic:blipFill>
                  <pic:spPr>
                    <a:xfrm>
                      <a:off x="0" y="0"/>
                      <a:ext cx="86360" cy="166370"/>
                    </a:xfrm>
                    <a:prstGeom prst="rect">
                      <a:avLst/>
                    </a:prstGeom>
                    <a:noFill/>
                    <a:ln w="9525">
                      <a:noFill/>
                    </a:ln>
                  </pic:spPr>
                </pic:pic>
              </a:graphicData>
            </a:graphic>
          </wp:inline>
        </w:drawing>
      </w:r>
      <w:r>
        <w:rPr>
          <w:rFonts w:hint="eastAsia" w:ascii="楷体" w:hAnsi="楷体" w:eastAsia="楷体" w:cs="楷体"/>
          <w:color w:val="auto"/>
          <w:sz w:val="28"/>
          <w:szCs w:val="28"/>
          <w:lang w:val="en-US" w:eastAsia="zh-CN"/>
        </w:rPr>
        <w:t>为单位</w:t>
      </w:r>
      <w:r>
        <w:rPr>
          <w:rFonts w:hint="eastAsia" w:ascii="楷体" w:hAnsi="楷体" w:eastAsia="楷体" w:cs="楷体"/>
          <w:color w:val="auto"/>
          <w:sz w:val="28"/>
          <w:szCs w:val="28"/>
        </w:rPr>
        <w:t>履约行为评价得分,Qi为其他失信行为对应扣分标准，J</w:t>
      </w:r>
      <w:r>
        <w:rPr>
          <w:rFonts w:hint="eastAsia" w:ascii="楷体" w:hAnsi="楷体" w:eastAsia="楷体" w:cs="楷体"/>
          <w:color w:val="auto"/>
          <w:sz w:val="28"/>
          <w:szCs w:val="28"/>
          <w:vertAlign w:val="subscript"/>
        </w:rPr>
        <w:t>i</w:t>
      </w:r>
      <w:r>
        <w:rPr>
          <w:rFonts w:hint="eastAsia" w:ascii="楷体" w:hAnsi="楷体" w:eastAsia="楷体" w:cs="楷体"/>
          <w:color w:val="auto"/>
          <w:sz w:val="28"/>
          <w:szCs w:val="28"/>
        </w:rPr>
        <w:t>为其他良好信誉行为对应的加分标准。</w:t>
      </w:r>
    </w:p>
    <w:p>
      <w:pPr>
        <w:adjustRightInd w:val="0"/>
        <w:snapToGrid w:val="0"/>
        <w:spacing w:line="360" w:lineRule="auto"/>
        <w:ind w:firstLine="565" w:firstLineChars="202"/>
        <w:rPr>
          <w:rFonts w:hint="eastAsia" w:ascii="宋体" w:hAnsi="Times New Roman" w:eastAsia="宋体" w:cs="宋体"/>
          <w:color w:val="auto"/>
          <w:sz w:val="28"/>
          <w:szCs w:val="28"/>
          <w:lang w:val="en-US" w:eastAsia="zh-CN"/>
        </w:rPr>
      </w:pP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360" w:lineRule="auto"/>
        <w:ind w:firstLine="565" w:firstLineChars="202"/>
        <w:rPr>
          <w:rFonts w:ascii="宋体" w:hAnsi="Times New Roman" w:eastAsia="宋体" w:cs="宋体"/>
          <w:color w:val="auto"/>
          <w:sz w:val="28"/>
          <w:szCs w:val="28"/>
        </w:rPr>
        <w:sectPr>
          <w:headerReference r:id="rId5" w:type="default"/>
          <w:footerReference r:id="rId6" w:type="default"/>
          <w:pgSz w:w="11906" w:h="16838"/>
          <w:pgMar w:top="1440" w:right="1797" w:bottom="1440" w:left="1797" w:header="851" w:footer="992" w:gutter="0"/>
          <w:pgNumType w:fmt="decimal"/>
          <w:cols w:space="720" w:num="1"/>
          <w:docGrid w:type="lines" w:linePitch="312" w:charSpace="0"/>
        </w:sectPr>
      </w:pPr>
    </w:p>
    <w:p>
      <w:pPr>
        <w:adjustRightInd w:val="0"/>
        <w:snapToGrid w:val="0"/>
        <w:spacing w:line="360" w:lineRule="auto"/>
        <w:ind w:firstLine="720" w:firstLineChars="200"/>
        <w:jc w:val="center"/>
        <w:rPr>
          <w:rFonts w:ascii="黑体" w:hAnsi="黑体" w:eastAsia="黑体"/>
          <w:color w:val="auto"/>
          <w:sz w:val="36"/>
          <w:szCs w:val="36"/>
        </w:rPr>
      </w:pPr>
      <w:r>
        <w:rPr>
          <w:rFonts w:hint="eastAsia" w:ascii="黑体" w:hAnsi="黑体" w:eastAsia="黑体" w:cs="黑体"/>
          <w:color w:val="auto"/>
          <w:sz w:val="36"/>
          <w:szCs w:val="36"/>
        </w:rPr>
        <w:t>广东省水运工程</w:t>
      </w:r>
      <w:r>
        <w:rPr>
          <w:rFonts w:hint="eastAsia" w:ascii="黑体" w:hAnsi="黑体" w:eastAsia="黑体" w:cs="黑体"/>
          <w:color w:val="auto"/>
          <w:sz w:val="36"/>
          <w:szCs w:val="36"/>
          <w:lang w:val="en-US" w:eastAsia="zh-CN"/>
        </w:rPr>
        <w:t>从业单位</w:t>
      </w:r>
      <w:r>
        <w:rPr>
          <w:rFonts w:hint="eastAsia" w:ascii="黑体" w:hAnsi="黑体" w:eastAsia="黑体" w:cs="黑体"/>
          <w:color w:val="auto"/>
          <w:sz w:val="36"/>
          <w:szCs w:val="36"/>
        </w:rPr>
        <w:t>信用评价</w:t>
      </w:r>
    </w:p>
    <w:p>
      <w:pPr>
        <w:adjustRightInd w:val="0"/>
        <w:snapToGrid w:val="0"/>
        <w:spacing w:line="360" w:lineRule="auto"/>
        <w:ind w:firstLine="720" w:firstLineChars="200"/>
        <w:jc w:val="center"/>
        <w:rPr>
          <w:rFonts w:ascii="黑体" w:hAnsi="黑体" w:eastAsia="黑体"/>
          <w:color w:val="auto"/>
          <w:sz w:val="36"/>
          <w:szCs w:val="36"/>
        </w:rPr>
      </w:pPr>
      <w:r>
        <w:rPr>
          <w:rFonts w:hint="eastAsia" w:ascii="黑体" w:hAnsi="黑体" w:eastAsia="黑体" w:cs="黑体"/>
          <w:color w:val="auto"/>
          <w:sz w:val="36"/>
          <w:szCs w:val="36"/>
        </w:rPr>
        <w:t>评分计算方法</w:t>
      </w:r>
    </w:p>
    <w:p>
      <w:pPr>
        <w:spacing w:line="600" w:lineRule="exact"/>
        <w:ind w:firstLine="560" w:firstLineChars="200"/>
        <w:jc w:val="center"/>
        <w:rPr>
          <w:rFonts w:hint="default" w:ascii="楷体" w:hAnsi="楷体" w:eastAsia="楷体" w:cs="楷体"/>
          <w:color w:val="auto"/>
          <w:sz w:val="28"/>
          <w:szCs w:val="28"/>
          <w:lang w:val="en-US" w:eastAsia="zh-CN"/>
        </w:rPr>
      </w:pPr>
      <w:r>
        <w:rPr>
          <w:rFonts w:hint="eastAsia" w:ascii="楷体" w:hAnsi="楷体" w:eastAsia="楷体" w:cs="楷体"/>
          <w:color w:val="auto"/>
          <w:sz w:val="28"/>
          <w:szCs w:val="28"/>
          <w:lang w:val="en-US" w:eastAsia="zh-CN"/>
        </w:rPr>
        <w:t>（适用于设计、施工、监理、咨询等从业单位）</w:t>
      </w:r>
    </w:p>
    <w:p>
      <w:pPr>
        <w:adjustRightInd w:val="0"/>
        <w:snapToGrid w:val="0"/>
        <w:spacing w:line="360" w:lineRule="auto"/>
        <w:ind w:firstLine="565" w:firstLineChars="202"/>
        <w:rPr>
          <w:rFonts w:ascii="宋体" w:hAnsi="Times New Roman" w:eastAsia="宋体" w:cs="宋体"/>
          <w:color w:val="auto"/>
          <w:sz w:val="28"/>
          <w:szCs w:val="28"/>
        </w:rPr>
      </w:pPr>
    </w:p>
    <w:p>
      <w:pPr>
        <w:adjustRightInd w:val="0"/>
        <w:snapToGrid w:val="0"/>
        <w:spacing w:line="560" w:lineRule="exact"/>
        <w:ind w:firstLine="708" w:firstLineChars="252"/>
        <w:rPr>
          <w:rFonts w:ascii="仿宋_GB2312" w:hAnsi="仿宋"/>
          <w:b/>
          <w:bCs/>
          <w:color w:val="auto"/>
          <w:sz w:val="28"/>
          <w:szCs w:val="28"/>
        </w:rPr>
      </w:pPr>
      <w:r>
        <w:rPr>
          <w:rFonts w:hint="eastAsia" w:ascii="仿宋_GB2312" w:hAnsi="仿宋" w:cs="仿宋_GB2312"/>
          <w:b/>
          <w:bCs/>
          <w:color w:val="auto"/>
          <w:sz w:val="28"/>
          <w:szCs w:val="28"/>
        </w:rPr>
        <w:t>一、单次投标或单个从业标段评价</w:t>
      </w:r>
    </w:p>
    <w:p>
      <w:pPr>
        <w:adjustRightInd w:val="0"/>
        <w:snapToGrid w:val="0"/>
        <w:spacing w:line="560" w:lineRule="exact"/>
        <w:ind w:left="1480" w:leftChars="200" w:hanging="840" w:hangingChars="300"/>
        <w:jc w:val="left"/>
        <w:rPr>
          <w:rFonts w:ascii="仿宋_GB2312" w:hAnsi="仿宋"/>
          <w:color w:val="auto"/>
          <w:sz w:val="28"/>
          <w:szCs w:val="28"/>
        </w:rPr>
      </w:pPr>
      <w:r>
        <w:rPr>
          <w:rFonts w:hint="eastAsia" w:ascii="仿宋_GB2312" w:hAnsi="仿宋" w:cs="仿宋_GB2312"/>
          <w:color w:val="auto"/>
          <w:sz w:val="28"/>
          <w:szCs w:val="28"/>
        </w:rPr>
        <w:t>（一）企业投标行为信用评价得分</w:t>
      </w:r>
      <w:r>
        <w:rPr>
          <w:rFonts w:ascii="仿宋_GB2312" w:hAnsi="仿宋" w:cs="仿宋_GB2312"/>
          <w:color w:val="auto"/>
          <w:sz w:val="28"/>
          <w:szCs w:val="28"/>
        </w:rPr>
        <w:t xml:space="preserve">: </w:t>
      </w:r>
      <w:r>
        <w:rPr>
          <w:rFonts w:ascii="仿宋_GB2312" w:hAnsi="仿宋"/>
          <w:color w:val="auto"/>
          <w:position w:val="-28"/>
          <w:sz w:val="28"/>
          <w:szCs w:val="28"/>
        </w:rPr>
        <w:drawing>
          <wp:inline distT="0" distB="0" distL="114300" distR="114300">
            <wp:extent cx="1715135" cy="532130"/>
            <wp:effectExtent l="0" t="0" r="0" b="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1"/>
                    <a:stretch>
                      <a:fillRect/>
                    </a:stretch>
                  </pic:blipFill>
                  <pic:spPr>
                    <a:xfrm>
                      <a:off x="0" y="0"/>
                      <a:ext cx="1715135" cy="532130"/>
                    </a:xfrm>
                    <a:prstGeom prst="rect">
                      <a:avLst/>
                    </a:prstGeom>
                    <a:noFill/>
                    <a:ln w="9525">
                      <a:noFill/>
                    </a:ln>
                  </pic:spPr>
                </pic:pic>
              </a:graphicData>
            </a:graphic>
          </wp:inline>
        </w:drawing>
      </w:r>
    </w:p>
    <w:p>
      <w:pPr>
        <w:adjustRightInd w:val="0"/>
        <w:snapToGrid w:val="0"/>
        <w:spacing w:line="560" w:lineRule="exact"/>
        <w:ind w:firstLine="565" w:firstLineChars="202"/>
        <w:rPr>
          <w:rFonts w:ascii="仿宋_GB2312" w:hAnsi="仿宋"/>
          <w:color w:val="auto"/>
          <w:sz w:val="28"/>
          <w:szCs w:val="28"/>
        </w:rPr>
      </w:pPr>
      <w:r>
        <w:rPr>
          <w:rFonts w:hint="eastAsia" w:ascii="仿宋_GB2312" w:hAnsi="仿宋" w:cs="仿宋_GB2312"/>
          <w:color w:val="auto"/>
          <w:sz w:val="28"/>
          <w:szCs w:val="28"/>
        </w:rPr>
        <w:t>其中：</w:t>
      </w:r>
      <w:r>
        <w:rPr>
          <w:rFonts w:ascii="仿宋_GB2312" w:hAnsi="仿宋" w:cs="仿宋_GB2312"/>
          <w:color w:val="auto"/>
          <w:sz w:val="28"/>
          <w:szCs w:val="28"/>
        </w:rPr>
        <w:t>T</w:t>
      </w:r>
      <w:r>
        <w:rPr>
          <w:rFonts w:ascii="仿宋_GB2312" w:hAnsi="仿宋" w:cs="仿宋_GB2312"/>
          <w:color w:val="auto"/>
          <w:sz w:val="28"/>
          <w:szCs w:val="28"/>
          <w:vertAlign w:val="subscript"/>
        </w:rPr>
        <w:t>i</w:t>
      </w:r>
      <w:r>
        <w:rPr>
          <w:rFonts w:hint="eastAsia" w:ascii="仿宋_GB2312" w:hAnsi="仿宋" w:cs="仿宋_GB2312"/>
          <w:color w:val="auto"/>
          <w:sz w:val="28"/>
          <w:szCs w:val="28"/>
        </w:rPr>
        <w:t>为企业在某标段投标行为信用评价得分，</w:t>
      </w:r>
      <w:r>
        <w:rPr>
          <w:rFonts w:ascii="仿宋_GB2312" w:hAnsi="仿宋" w:cs="仿宋_GB2312"/>
          <w:color w:val="auto"/>
          <w:sz w:val="28"/>
          <w:szCs w:val="28"/>
        </w:rPr>
        <w:t>T</w:t>
      </w:r>
      <w:r>
        <w:rPr>
          <w:rFonts w:ascii="仿宋_GB2312" w:hAnsi="仿宋" w:cs="仿宋_GB2312"/>
          <w:color w:val="auto"/>
          <w:sz w:val="28"/>
          <w:szCs w:val="28"/>
          <w:vertAlign w:val="subscript"/>
        </w:rPr>
        <w:t>i</w:t>
      </w:r>
      <w:r>
        <w:rPr>
          <w:rFonts w:hint="eastAsia" w:ascii="仿宋_GB2312" w:hAnsi="仿宋" w:cs="仿宋_GB2312"/>
          <w:color w:val="auto"/>
          <w:sz w:val="28"/>
          <w:szCs w:val="28"/>
        </w:rPr>
        <w:t>≥</w:t>
      </w:r>
      <w:r>
        <w:rPr>
          <w:rFonts w:ascii="仿宋_GB2312" w:hAnsi="仿宋" w:cs="仿宋_GB2312"/>
          <w:color w:val="auto"/>
          <w:sz w:val="28"/>
          <w:szCs w:val="28"/>
        </w:rPr>
        <w:t>0</w:t>
      </w:r>
      <w:r>
        <w:rPr>
          <w:rFonts w:hint="eastAsia" w:ascii="仿宋_GB2312" w:hAnsi="仿宋" w:cs="仿宋_GB2312"/>
          <w:color w:val="auto"/>
          <w:sz w:val="28"/>
          <w:szCs w:val="28"/>
        </w:rPr>
        <w:t>；</w:t>
      </w:r>
    </w:p>
    <w:p>
      <w:pPr>
        <w:adjustRightInd w:val="0"/>
        <w:snapToGrid w:val="0"/>
        <w:spacing w:line="560" w:lineRule="exact"/>
        <w:ind w:left="1535" w:leftChars="436" w:hanging="140" w:hangingChars="50"/>
        <w:rPr>
          <w:rFonts w:ascii="仿宋_GB2312" w:hAnsi="仿宋"/>
          <w:color w:val="auto"/>
          <w:sz w:val="28"/>
          <w:szCs w:val="28"/>
        </w:rPr>
      </w:pPr>
      <w:r>
        <w:rPr>
          <w:rFonts w:ascii="仿宋_GB2312" w:hAnsi="仿宋" w:cs="仿宋_GB2312"/>
          <w:color w:val="auto"/>
          <w:sz w:val="28"/>
          <w:szCs w:val="28"/>
        </w:rPr>
        <w:t>i</w:t>
      </w:r>
      <w:r>
        <w:rPr>
          <w:rFonts w:hint="eastAsia" w:ascii="仿宋_GB2312" w:hAnsi="仿宋" w:cs="仿宋_GB2312"/>
          <w:color w:val="auto"/>
          <w:sz w:val="28"/>
          <w:szCs w:val="28"/>
        </w:rPr>
        <w:t>为该标段投标失信行为项次，</w:t>
      </w:r>
      <w:r>
        <w:rPr>
          <w:rFonts w:ascii="仿宋_GB2312" w:hAnsi="仿宋" w:cs="仿宋_GB2312"/>
          <w:color w:val="auto"/>
          <w:sz w:val="28"/>
          <w:szCs w:val="28"/>
        </w:rPr>
        <w:t>A</w:t>
      </w:r>
      <w:r>
        <w:rPr>
          <w:rFonts w:ascii="仿宋_GB2312" w:hAnsi="仿宋" w:cs="仿宋_GB2312"/>
          <w:color w:val="auto"/>
          <w:sz w:val="28"/>
          <w:szCs w:val="28"/>
          <w:vertAlign w:val="subscript"/>
        </w:rPr>
        <w:t>i</w:t>
      </w:r>
      <w:r>
        <w:rPr>
          <w:rFonts w:hint="eastAsia" w:ascii="仿宋_GB2312" w:hAnsi="仿宋" w:cs="仿宋_GB2312"/>
          <w:color w:val="auto"/>
          <w:sz w:val="28"/>
          <w:szCs w:val="28"/>
        </w:rPr>
        <w:t>为投标失信行为对应的扣分。如果企业无失信行为，则不进行评价。</w:t>
      </w:r>
    </w:p>
    <w:p>
      <w:pPr>
        <w:adjustRightInd w:val="0"/>
        <w:snapToGrid w:val="0"/>
        <w:spacing w:line="560" w:lineRule="exact"/>
        <w:ind w:firstLine="565" w:firstLineChars="202"/>
        <w:rPr>
          <w:rFonts w:ascii="仿宋_GB2312" w:hAnsi="仿宋"/>
          <w:color w:val="auto"/>
          <w:sz w:val="28"/>
          <w:szCs w:val="28"/>
        </w:rPr>
      </w:pPr>
      <w:r>
        <w:rPr>
          <w:rFonts w:hint="eastAsia" w:ascii="仿宋_GB2312" w:hAnsi="仿宋" w:cs="仿宋_GB2312"/>
          <w:color w:val="auto"/>
          <w:sz w:val="28"/>
          <w:szCs w:val="28"/>
        </w:rPr>
        <w:t>（二）企业履约行为信用评价得分：</w:t>
      </w:r>
      <w:r>
        <w:rPr>
          <w:rFonts w:ascii="仿宋_GB2312" w:hAnsi="仿宋" w:cs="仿宋_GB2312"/>
          <w:color w:val="auto"/>
          <w:sz w:val="28"/>
          <w:szCs w:val="28"/>
        </w:rPr>
        <w:t xml:space="preserve"> </w:t>
      </w:r>
      <w:r>
        <w:rPr>
          <w:rFonts w:ascii="仿宋_GB2312" w:hAnsi="仿宋"/>
          <w:color w:val="auto"/>
          <w:position w:val="-28"/>
          <w:sz w:val="28"/>
          <w:szCs w:val="28"/>
        </w:rPr>
        <w:drawing>
          <wp:inline distT="0" distB="0" distL="114300" distR="114300">
            <wp:extent cx="1492250" cy="524510"/>
            <wp:effectExtent l="0" t="0" r="0" b="0"/>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12"/>
                    <a:stretch>
                      <a:fillRect/>
                    </a:stretch>
                  </pic:blipFill>
                  <pic:spPr>
                    <a:xfrm>
                      <a:off x="0" y="0"/>
                      <a:ext cx="1492250" cy="524510"/>
                    </a:xfrm>
                    <a:prstGeom prst="rect">
                      <a:avLst/>
                    </a:prstGeom>
                    <a:noFill/>
                    <a:ln w="9525">
                      <a:noFill/>
                    </a:ln>
                  </pic:spPr>
                </pic:pic>
              </a:graphicData>
            </a:graphic>
          </wp:inline>
        </w:drawing>
      </w:r>
    </w:p>
    <w:p>
      <w:pPr>
        <w:adjustRightInd w:val="0"/>
        <w:snapToGrid w:val="0"/>
        <w:spacing w:line="560" w:lineRule="exact"/>
        <w:ind w:firstLine="565" w:firstLineChars="202"/>
        <w:rPr>
          <w:rFonts w:ascii="仿宋_GB2312" w:hAnsi="仿宋"/>
          <w:color w:val="auto"/>
          <w:sz w:val="28"/>
          <w:szCs w:val="28"/>
        </w:rPr>
      </w:pPr>
      <w:r>
        <w:rPr>
          <w:rFonts w:hint="eastAsia" w:ascii="仿宋_GB2312" w:hAnsi="仿宋" w:cs="仿宋_GB2312"/>
          <w:color w:val="auto"/>
          <w:sz w:val="28"/>
          <w:szCs w:val="28"/>
        </w:rPr>
        <w:t>其中：</w:t>
      </w:r>
      <w:r>
        <w:rPr>
          <w:rFonts w:ascii="仿宋_GB2312" w:hAnsi="仿宋" w:cs="仿宋_GB2312"/>
          <w:color w:val="auto"/>
          <w:sz w:val="28"/>
          <w:szCs w:val="28"/>
        </w:rPr>
        <w:t>L</w:t>
      </w:r>
      <w:r>
        <w:rPr>
          <w:rFonts w:ascii="仿宋_GB2312" w:hAnsi="仿宋" w:cs="仿宋_GB2312"/>
          <w:color w:val="auto"/>
          <w:sz w:val="28"/>
          <w:szCs w:val="28"/>
          <w:vertAlign w:val="subscript"/>
        </w:rPr>
        <w:t>i</w:t>
      </w:r>
      <w:r>
        <w:rPr>
          <w:rFonts w:hint="eastAsia" w:ascii="仿宋_GB2312" w:hAnsi="仿宋" w:cs="仿宋_GB2312"/>
          <w:color w:val="auto"/>
          <w:sz w:val="28"/>
          <w:szCs w:val="28"/>
        </w:rPr>
        <w:t>为企业在某标段履约行为信用评价得分，</w:t>
      </w:r>
      <w:r>
        <w:rPr>
          <w:rFonts w:ascii="仿宋_GB2312" w:hAnsi="仿宋" w:cs="仿宋_GB2312"/>
          <w:color w:val="auto"/>
          <w:sz w:val="28"/>
          <w:szCs w:val="28"/>
        </w:rPr>
        <w:t>L</w:t>
      </w:r>
      <w:r>
        <w:rPr>
          <w:rFonts w:ascii="仿宋_GB2312" w:hAnsi="仿宋" w:cs="仿宋_GB2312"/>
          <w:color w:val="auto"/>
          <w:sz w:val="28"/>
          <w:szCs w:val="28"/>
          <w:vertAlign w:val="subscript"/>
        </w:rPr>
        <w:t>i</w:t>
      </w:r>
      <w:r>
        <w:rPr>
          <w:rFonts w:hint="eastAsia" w:ascii="仿宋_GB2312" w:hAnsi="仿宋" w:cs="仿宋_GB2312"/>
          <w:color w:val="auto"/>
          <w:sz w:val="28"/>
          <w:szCs w:val="28"/>
        </w:rPr>
        <w:t>≥</w:t>
      </w:r>
      <w:r>
        <w:rPr>
          <w:rFonts w:ascii="仿宋_GB2312" w:hAnsi="仿宋" w:cs="仿宋_GB2312"/>
          <w:color w:val="auto"/>
          <w:sz w:val="28"/>
          <w:szCs w:val="28"/>
        </w:rPr>
        <w:t>0</w:t>
      </w:r>
      <w:r>
        <w:rPr>
          <w:rFonts w:hint="eastAsia" w:ascii="仿宋_GB2312" w:hAnsi="仿宋" w:cs="仿宋_GB2312"/>
          <w:color w:val="auto"/>
          <w:sz w:val="28"/>
          <w:szCs w:val="28"/>
        </w:rPr>
        <w:t>；</w:t>
      </w:r>
    </w:p>
    <w:p>
      <w:pPr>
        <w:adjustRightInd w:val="0"/>
        <w:snapToGrid w:val="0"/>
        <w:spacing w:line="560" w:lineRule="exact"/>
        <w:ind w:firstLine="565" w:firstLineChars="202"/>
        <w:jc w:val="left"/>
        <w:rPr>
          <w:rFonts w:ascii="仿宋_GB2312" w:hAnsi="仿宋"/>
          <w:color w:val="auto"/>
          <w:sz w:val="28"/>
          <w:szCs w:val="28"/>
        </w:rPr>
      </w:pPr>
      <w:r>
        <w:rPr>
          <w:rFonts w:ascii="仿宋_GB2312" w:hAnsi="仿宋" w:cs="仿宋_GB2312"/>
          <w:color w:val="auto"/>
          <w:sz w:val="28"/>
          <w:szCs w:val="28"/>
        </w:rPr>
        <w:t xml:space="preserve">      i</w:t>
      </w:r>
      <w:r>
        <w:rPr>
          <w:rFonts w:hint="eastAsia" w:ascii="仿宋_GB2312" w:hAnsi="仿宋" w:cs="仿宋_GB2312"/>
          <w:color w:val="auto"/>
          <w:sz w:val="28"/>
          <w:szCs w:val="28"/>
        </w:rPr>
        <w:t>为该标段履约失信行为项次；</w:t>
      </w:r>
    </w:p>
    <w:p>
      <w:pPr>
        <w:adjustRightInd w:val="0"/>
        <w:snapToGrid w:val="0"/>
        <w:spacing w:line="560" w:lineRule="exact"/>
        <w:ind w:firstLine="1400" w:firstLineChars="500"/>
        <w:jc w:val="left"/>
        <w:rPr>
          <w:rFonts w:ascii="仿宋_GB2312" w:hAnsi="仿宋"/>
          <w:color w:val="auto"/>
          <w:sz w:val="28"/>
          <w:szCs w:val="28"/>
        </w:rPr>
      </w:pPr>
      <w:r>
        <w:rPr>
          <w:rFonts w:ascii="仿宋_GB2312" w:hAnsi="仿宋" w:cs="仿宋_GB2312"/>
          <w:color w:val="auto"/>
          <w:sz w:val="28"/>
          <w:szCs w:val="28"/>
        </w:rPr>
        <w:t>B</w:t>
      </w:r>
      <w:r>
        <w:rPr>
          <w:rFonts w:ascii="仿宋_GB2312" w:hAnsi="仿宋" w:cs="仿宋_GB2312"/>
          <w:color w:val="auto"/>
          <w:sz w:val="28"/>
          <w:szCs w:val="28"/>
          <w:vertAlign w:val="subscript"/>
        </w:rPr>
        <w:t>i</w:t>
      </w:r>
      <w:r>
        <w:rPr>
          <w:rFonts w:hint="eastAsia" w:ascii="仿宋_GB2312" w:hAnsi="仿宋" w:cs="仿宋_GB2312"/>
          <w:color w:val="auto"/>
          <w:sz w:val="28"/>
          <w:szCs w:val="28"/>
        </w:rPr>
        <w:t>为履约失信行为对应的扣分。</w:t>
      </w:r>
    </w:p>
    <w:p>
      <w:pPr>
        <w:adjustRightInd w:val="0"/>
        <w:snapToGrid w:val="0"/>
        <w:spacing w:line="560" w:lineRule="exact"/>
        <w:ind w:firstLine="708" w:firstLineChars="252"/>
        <w:rPr>
          <w:rFonts w:ascii="仿宋_GB2312" w:hAnsi="仿宋"/>
          <w:b/>
          <w:bCs/>
          <w:color w:val="auto"/>
          <w:sz w:val="28"/>
          <w:szCs w:val="28"/>
        </w:rPr>
      </w:pPr>
      <w:r>
        <w:rPr>
          <w:rFonts w:hint="eastAsia" w:ascii="仿宋_GB2312" w:hAnsi="仿宋" w:cs="仿宋_GB2312"/>
          <w:b/>
          <w:bCs/>
          <w:color w:val="auto"/>
          <w:sz w:val="28"/>
          <w:szCs w:val="28"/>
        </w:rPr>
        <w:t>二、省级综合评价</w:t>
      </w:r>
    </w:p>
    <w:p>
      <w:pPr>
        <w:adjustRightInd w:val="0"/>
        <w:snapToGrid w:val="0"/>
        <w:spacing w:line="560" w:lineRule="exact"/>
        <w:ind w:firstLine="571" w:firstLineChars="204"/>
        <w:outlineLvl w:val="0"/>
        <w:rPr>
          <w:rFonts w:ascii="仿宋_GB2312" w:hAnsi="仿宋"/>
          <w:color w:val="auto"/>
          <w:sz w:val="28"/>
          <w:szCs w:val="28"/>
        </w:rPr>
      </w:pPr>
      <w:r>
        <w:rPr>
          <w:rFonts w:hint="eastAsia" w:ascii="仿宋_GB2312" w:hAnsi="仿宋" w:cs="仿宋_GB2312"/>
          <w:color w:val="auto"/>
          <w:sz w:val="28"/>
          <w:szCs w:val="28"/>
        </w:rPr>
        <w:t>（一）企业投标行为评价得分：</w:t>
      </w:r>
      <w:r>
        <w:rPr>
          <w:rFonts w:ascii="仿宋_GB2312" w:hAnsi="仿宋"/>
          <w:color w:val="auto"/>
          <w:position w:val="-28"/>
          <w:sz w:val="28"/>
          <w:szCs w:val="28"/>
        </w:rPr>
        <w:drawing>
          <wp:inline distT="0" distB="0" distL="114300" distR="114300">
            <wp:extent cx="1339215" cy="548640"/>
            <wp:effectExtent l="0" t="0" r="0" b="0"/>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13"/>
                    <a:stretch>
                      <a:fillRect/>
                    </a:stretch>
                  </pic:blipFill>
                  <pic:spPr>
                    <a:xfrm>
                      <a:off x="0" y="0"/>
                      <a:ext cx="1339215" cy="548640"/>
                    </a:xfrm>
                    <a:prstGeom prst="rect">
                      <a:avLst/>
                    </a:prstGeom>
                    <a:noFill/>
                    <a:ln w="9525">
                      <a:noFill/>
                    </a:ln>
                  </pic:spPr>
                </pic:pic>
              </a:graphicData>
            </a:graphic>
          </wp:inline>
        </w:drawing>
      </w:r>
      <w:r>
        <w:rPr>
          <w:rFonts w:ascii="仿宋_GB2312" w:hAnsi="仿宋" w:cs="仿宋_GB2312"/>
          <w:color w:val="auto"/>
          <w:sz w:val="28"/>
          <w:szCs w:val="28"/>
        </w:rPr>
        <w:t xml:space="preserve"> </w:t>
      </w:r>
    </w:p>
    <w:p>
      <w:pPr>
        <w:adjustRightInd w:val="0"/>
        <w:snapToGrid w:val="0"/>
        <w:spacing w:line="560" w:lineRule="exact"/>
        <w:ind w:firstLine="548" w:firstLineChars="196"/>
        <w:rPr>
          <w:rFonts w:ascii="仿宋_GB2312" w:hAnsi="仿宋"/>
          <w:color w:val="auto"/>
          <w:sz w:val="28"/>
          <w:szCs w:val="28"/>
        </w:rPr>
      </w:pPr>
      <w:r>
        <w:rPr>
          <w:rFonts w:hint="eastAsia" w:ascii="仿宋_GB2312" w:hAnsi="仿宋" w:cs="仿宋_GB2312"/>
          <w:color w:val="auto"/>
          <w:sz w:val="28"/>
          <w:szCs w:val="28"/>
        </w:rPr>
        <w:t>其中：</w:t>
      </w:r>
      <w:r>
        <w:rPr>
          <w:rFonts w:ascii="仿宋_GB2312" w:hAnsi="仿宋" w:cs="仿宋_GB2312"/>
          <w:color w:val="auto"/>
          <w:sz w:val="28"/>
          <w:szCs w:val="28"/>
        </w:rPr>
        <w:t>n</w:t>
      </w:r>
      <w:r>
        <w:rPr>
          <w:rFonts w:hint="eastAsia" w:ascii="仿宋_GB2312" w:hAnsi="仿宋" w:cs="仿宋_GB2312"/>
          <w:color w:val="auto"/>
          <w:sz w:val="28"/>
          <w:szCs w:val="28"/>
        </w:rPr>
        <w:t>为投标存在失信行为的标段数，若</w:t>
      </w:r>
      <w:r>
        <w:rPr>
          <w:rFonts w:ascii="仿宋_GB2312" w:hAnsi="仿宋" w:cs="仿宋_GB2312"/>
          <w:color w:val="auto"/>
          <w:sz w:val="28"/>
          <w:szCs w:val="28"/>
        </w:rPr>
        <w:t>n&gt;2,</w:t>
      </w:r>
      <w:r>
        <w:rPr>
          <w:rFonts w:hint="eastAsia" w:ascii="仿宋_GB2312" w:hAnsi="仿宋" w:cs="仿宋_GB2312"/>
          <w:color w:val="auto"/>
          <w:sz w:val="28"/>
          <w:szCs w:val="28"/>
        </w:rPr>
        <w:t>则</w:t>
      </w:r>
      <w:r>
        <w:rPr>
          <w:rFonts w:ascii="仿宋_GB2312" w:hAnsi="仿宋" w:cs="仿宋_GB2312"/>
          <w:color w:val="auto"/>
          <w:sz w:val="28"/>
          <w:szCs w:val="28"/>
        </w:rPr>
        <w:t>T=0</w:t>
      </w:r>
      <w:r>
        <w:rPr>
          <w:rFonts w:hint="eastAsia" w:ascii="仿宋_GB2312" w:hAnsi="仿宋" w:cs="仿宋_GB2312"/>
          <w:color w:val="auto"/>
          <w:sz w:val="28"/>
          <w:szCs w:val="28"/>
        </w:rPr>
        <w:t>；</w:t>
      </w:r>
    </w:p>
    <w:p>
      <w:pPr>
        <w:adjustRightInd w:val="0"/>
        <w:snapToGrid w:val="0"/>
        <w:spacing w:line="560" w:lineRule="exact"/>
        <w:ind w:firstLine="1248" w:firstLineChars="446"/>
        <w:rPr>
          <w:rFonts w:ascii="仿宋_GB2312" w:hAnsi="仿宋"/>
          <w:color w:val="auto"/>
          <w:sz w:val="28"/>
          <w:szCs w:val="28"/>
        </w:rPr>
      </w:pPr>
      <w:r>
        <w:rPr>
          <w:rFonts w:hint="eastAsia" w:ascii="仿宋_GB2312" w:hAnsi="仿宋" w:cs="仿宋_GB2312"/>
          <w:color w:val="auto"/>
          <w:sz w:val="28"/>
          <w:szCs w:val="28"/>
        </w:rPr>
        <w:t>若企业无失信行为，则</w:t>
      </w:r>
      <w:r>
        <w:rPr>
          <w:rFonts w:ascii="仿宋_GB2312" w:hAnsi="仿宋" w:cs="仿宋_GB2312"/>
          <w:color w:val="auto"/>
          <w:sz w:val="28"/>
          <w:szCs w:val="28"/>
        </w:rPr>
        <w:t>T=15</w:t>
      </w:r>
      <w:r>
        <w:rPr>
          <w:rFonts w:hint="eastAsia" w:ascii="仿宋_GB2312" w:hAnsi="仿宋" w:cs="仿宋_GB2312"/>
          <w:color w:val="auto"/>
          <w:sz w:val="28"/>
          <w:szCs w:val="28"/>
        </w:rPr>
        <w:t>。</w:t>
      </w:r>
    </w:p>
    <w:p>
      <w:pPr>
        <w:adjustRightInd w:val="0"/>
        <w:snapToGrid w:val="0"/>
        <w:spacing w:line="560" w:lineRule="exact"/>
        <w:ind w:firstLine="548" w:firstLineChars="196"/>
        <w:outlineLvl w:val="0"/>
        <w:rPr>
          <w:rFonts w:ascii="仿宋_GB2312" w:hAnsi="仿宋"/>
          <w:color w:val="auto"/>
          <w:sz w:val="28"/>
          <w:szCs w:val="28"/>
        </w:rPr>
      </w:pPr>
      <w:r>
        <w:rPr>
          <w:rFonts w:hint="eastAsia" w:ascii="仿宋_GB2312" w:hAnsi="仿宋" w:cs="仿宋_GB2312"/>
          <w:color w:val="auto"/>
          <w:sz w:val="28"/>
          <w:szCs w:val="28"/>
        </w:rPr>
        <w:t>（二）企业履约行为评价得分：</w:t>
      </w:r>
      <w:r>
        <w:rPr>
          <w:rFonts w:ascii="仿宋_GB2312" w:hAnsi="仿宋"/>
          <w:color w:val="auto"/>
          <w:position w:val="-28"/>
          <w:sz w:val="28"/>
          <w:szCs w:val="28"/>
        </w:rPr>
        <w:drawing>
          <wp:inline distT="0" distB="0" distL="114300" distR="114300">
            <wp:extent cx="1506855" cy="548640"/>
            <wp:effectExtent l="0" t="0" r="0" b="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4"/>
                    <a:stretch>
                      <a:fillRect/>
                    </a:stretch>
                  </pic:blipFill>
                  <pic:spPr>
                    <a:xfrm>
                      <a:off x="0" y="0"/>
                      <a:ext cx="1506855" cy="548640"/>
                    </a:xfrm>
                    <a:prstGeom prst="rect">
                      <a:avLst/>
                    </a:prstGeom>
                    <a:noFill/>
                    <a:ln w="9525">
                      <a:noFill/>
                    </a:ln>
                  </pic:spPr>
                </pic:pic>
              </a:graphicData>
            </a:graphic>
          </wp:inline>
        </w:drawing>
      </w:r>
    </w:p>
    <w:p>
      <w:pPr>
        <w:adjustRightInd w:val="0"/>
        <w:snapToGrid w:val="0"/>
        <w:spacing w:line="560" w:lineRule="exact"/>
        <w:ind w:firstLine="548" w:firstLineChars="196"/>
        <w:rPr>
          <w:rFonts w:ascii="仿宋_GB2312" w:hAnsi="仿宋"/>
          <w:color w:val="auto"/>
          <w:sz w:val="28"/>
          <w:szCs w:val="28"/>
        </w:rPr>
      </w:pPr>
      <w:r>
        <w:rPr>
          <w:rFonts w:hint="eastAsia" w:ascii="仿宋_GB2312" w:hAnsi="仿宋" w:cs="仿宋_GB2312"/>
          <w:color w:val="auto"/>
          <w:sz w:val="28"/>
          <w:szCs w:val="28"/>
        </w:rPr>
        <w:t>其中：</w:t>
      </w:r>
      <w:r>
        <w:rPr>
          <w:rFonts w:ascii="仿宋_GB2312" w:hAnsi="仿宋" w:cs="仿宋_GB2312"/>
          <w:color w:val="auto"/>
          <w:sz w:val="28"/>
          <w:szCs w:val="28"/>
        </w:rPr>
        <w:t>m</w:t>
      </w:r>
      <w:r>
        <w:rPr>
          <w:rFonts w:hint="eastAsia" w:ascii="仿宋_GB2312" w:hAnsi="仿宋" w:cs="仿宋_GB2312"/>
          <w:color w:val="auto"/>
          <w:sz w:val="28"/>
          <w:szCs w:val="28"/>
        </w:rPr>
        <w:t>为履约标段数。</w:t>
      </w:r>
    </w:p>
    <w:p>
      <w:pPr>
        <w:adjustRightInd w:val="0"/>
        <w:snapToGrid w:val="0"/>
        <w:spacing w:line="560" w:lineRule="exact"/>
        <w:ind w:firstLine="565" w:firstLineChars="202"/>
        <w:outlineLvl w:val="0"/>
        <w:rPr>
          <w:rFonts w:ascii="仿宋_GB2312" w:hAnsi="仿宋"/>
          <w:color w:val="auto"/>
          <w:sz w:val="28"/>
          <w:szCs w:val="28"/>
        </w:rPr>
      </w:pPr>
      <w:r>
        <w:rPr>
          <w:rFonts w:hint="eastAsia" w:ascii="仿宋_GB2312" w:hAnsi="仿宋" w:cs="仿宋_GB2312"/>
          <w:color w:val="auto"/>
          <w:sz w:val="28"/>
          <w:szCs w:val="28"/>
        </w:rPr>
        <w:t>（三）企业其他行为信用评价得分：</w:t>
      </w:r>
      <w:r>
        <w:rPr>
          <w:rFonts w:ascii="仿宋_GB2312" w:hAnsi="仿宋" w:cs="仿宋_GB2312"/>
          <w:color w:val="auto"/>
          <w:sz w:val="28"/>
          <w:szCs w:val="28"/>
        </w:rPr>
        <w:t xml:space="preserve"> Q = 15- F</w:t>
      </w:r>
      <w:r>
        <w:rPr>
          <w:rFonts w:ascii="仿宋_GB2312" w:hAnsi="仿宋" w:cs="仿宋_GB2312"/>
          <w:color w:val="auto"/>
          <w:sz w:val="28"/>
          <w:szCs w:val="28"/>
          <w:vertAlign w:val="subscript"/>
        </w:rPr>
        <w:t>k</w:t>
      </w:r>
    </w:p>
    <w:p>
      <w:pPr>
        <w:adjustRightInd w:val="0"/>
        <w:snapToGrid w:val="0"/>
        <w:spacing w:line="560" w:lineRule="exact"/>
        <w:ind w:firstLine="546" w:firstLineChars="195"/>
        <w:rPr>
          <w:rFonts w:ascii="仿宋_GB2312" w:hAnsi="仿宋"/>
          <w:color w:val="auto"/>
          <w:sz w:val="28"/>
          <w:szCs w:val="28"/>
          <w:vertAlign w:val="subscript"/>
        </w:rPr>
      </w:pPr>
      <w:r>
        <w:rPr>
          <w:rFonts w:hint="eastAsia" w:ascii="仿宋_GB2312" w:hAnsi="仿宋" w:cs="仿宋_GB2312"/>
          <w:color w:val="auto"/>
          <w:sz w:val="28"/>
          <w:szCs w:val="28"/>
        </w:rPr>
        <w:t>其中：</w:t>
      </w:r>
      <w:r>
        <w:rPr>
          <w:rFonts w:ascii="仿宋_GB2312" w:hAnsi="仿宋" w:cs="仿宋_GB2312"/>
          <w:color w:val="auto"/>
          <w:sz w:val="28"/>
          <w:szCs w:val="28"/>
        </w:rPr>
        <w:t>Q</w:t>
      </w:r>
      <w:r>
        <w:rPr>
          <w:rFonts w:hint="eastAsia" w:ascii="仿宋_GB2312" w:hAnsi="仿宋" w:cs="仿宋_GB2312"/>
          <w:color w:val="auto"/>
          <w:sz w:val="28"/>
          <w:szCs w:val="28"/>
        </w:rPr>
        <w:t>为其他信用行为得分；</w:t>
      </w:r>
    </w:p>
    <w:p>
      <w:pPr>
        <w:adjustRightInd w:val="0"/>
        <w:snapToGrid w:val="0"/>
        <w:spacing w:line="560" w:lineRule="exact"/>
        <w:ind w:left="-718" w:firstLine="470" w:firstLineChars="168"/>
        <w:rPr>
          <w:rFonts w:ascii="仿宋_GB2312" w:hAnsi="仿宋"/>
          <w:color w:val="auto"/>
          <w:sz w:val="28"/>
          <w:szCs w:val="28"/>
        </w:rPr>
      </w:pPr>
      <w:r>
        <w:rPr>
          <w:rFonts w:ascii="仿宋_GB2312" w:hAnsi="仿宋" w:cs="仿宋_GB2312"/>
          <w:color w:val="auto"/>
          <w:sz w:val="28"/>
          <w:szCs w:val="28"/>
        </w:rPr>
        <w:t xml:space="preserve">            F</w:t>
      </w:r>
      <w:r>
        <w:rPr>
          <w:rFonts w:ascii="仿宋_GB2312" w:hAnsi="仿宋" w:cs="仿宋_GB2312"/>
          <w:color w:val="auto"/>
          <w:sz w:val="28"/>
          <w:szCs w:val="28"/>
          <w:vertAlign w:val="subscript"/>
        </w:rPr>
        <w:t>k</w:t>
      </w:r>
      <w:r>
        <w:rPr>
          <w:rFonts w:hint="eastAsia" w:ascii="仿宋_GB2312" w:hAnsi="仿宋" w:cs="仿宋_GB2312"/>
          <w:color w:val="auto"/>
          <w:sz w:val="28"/>
          <w:szCs w:val="28"/>
        </w:rPr>
        <w:t>为其他信用失信行为的扣分值。</w:t>
      </w:r>
    </w:p>
    <w:p>
      <w:pPr>
        <w:adjustRightInd w:val="0"/>
        <w:snapToGrid w:val="0"/>
        <w:spacing w:line="560" w:lineRule="exact"/>
        <w:ind w:firstLine="548" w:firstLineChars="196"/>
        <w:rPr>
          <w:rFonts w:ascii="仿宋_GB2312" w:hAnsi="仿宋"/>
          <w:color w:val="auto"/>
          <w:sz w:val="28"/>
          <w:szCs w:val="28"/>
        </w:rPr>
      </w:pPr>
      <w:r>
        <w:rPr>
          <w:rFonts w:hint="eastAsia" w:ascii="仿宋_GB2312" w:hAnsi="仿宋" w:cs="仿宋_GB2312"/>
          <w:color w:val="auto"/>
          <w:sz w:val="28"/>
          <w:szCs w:val="28"/>
        </w:rPr>
        <w:t>（四）企业省级信用行为综合评分：</w:t>
      </w:r>
    </w:p>
    <w:p>
      <w:pPr>
        <w:adjustRightInd w:val="0"/>
        <w:snapToGrid w:val="0"/>
        <w:spacing w:line="560" w:lineRule="exact"/>
        <w:ind w:firstLine="1260" w:firstLineChars="450"/>
        <w:outlineLvl w:val="0"/>
        <w:rPr>
          <w:rFonts w:ascii="仿宋_GB2312" w:hAnsi="仿宋"/>
          <w:color w:val="auto"/>
          <w:sz w:val="28"/>
          <w:szCs w:val="28"/>
        </w:rPr>
      </w:pPr>
      <w:r>
        <w:rPr>
          <w:rFonts w:ascii="仿宋_GB2312" w:hAnsi="仿宋" w:cs="仿宋_GB2312"/>
          <w:color w:val="auto"/>
          <w:sz w:val="28"/>
          <w:szCs w:val="28"/>
        </w:rPr>
        <w:t>X</w:t>
      </w:r>
      <w:r>
        <w:rPr>
          <w:rFonts w:ascii="仿宋_GB2312" w:hAnsi="仿宋" w:cs="仿宋_GB2312"/>
          <w:color w:val="auto"/>
          <w:sz w:val="28"/>
          <w:szCs w:val="28"/>
          <w:vertAlign w:val="subscript"/>
        </w:rPr>
        <w:t>s</w:t>
      </w:r>
      <w:r>
        <w:rPr>
          <w:rFonts w:ascii="仿宋_GB2312" w:hAnsi="仿宋" w:cs="仿宋_GB2312"/>
          <w:color w:val="auto"/>
          <w:sz w:val="28"/>
          <w:szCs w:val="28"/>
        </w:rPr>
        <w:t xml:space="preserve"> =</w:t>
      </w:r>
      <w:r>
        <w:rPr>
          <w:rFonts w:hint="eastAsia" w:ascii="仿宋_GB2312" w:hAnsi="仿宋" w:cs="仿宋_GB2312"/>
          <w:color w:val="auto"/>
          <w:sz w:val="28"/>
          <w:szCs w:val="28"/>
        </w:rPr>
        <w:t>（</w:t>
      </w:r>
      <w:r>
        <w:rPr>
          <w:rFonts w:ascii="仿宋_GB2312" w:hAnsi="仿宋" w:cs="仿宋_GB2312"/>
          <w:color w:val="auto"/>
          <w:sz w:val="28"/>
          <w:szCs w:val="28"/>
        </w:rPr>
        <w:t xml:space="preserve">T + L + Q </w:t>
      </w:r>
      <w:r>
        <w:rPr>
          <w:rFonts w:hint="eastAsia" w:ascii="仿宋_GB2312" w:hAnsi="仿宋" w:cs="仿宋_GB2312"/>
          <w:color w:val="auto"/>
          <w:sz w:val="28"/>
          <w:szCs w:val="28"/>
        </w:rPr>
        <w:t>）</w:t>
      </w:r>
      <w:r>
        <w:rPr>
          <w:rFonts w:ascii="仿宋_GB2312" w:hAnsi="仿宋" w:cs="仿宋_GB2312"/>
          <w:color w:val="auto"/>
          <w:sz w:val="28"/>
          <w:szCs w:val="28"/>
        </w:rPr>
        <w:t>*a+xb+yc+J</w:t>
      </w:r>
    </w:p>
    <w:p>
      <w:pPr>
        <w:adjustRightInd w:val="0"/>
        <w:snapToGrid w:val="0"/>
        <w:spacing w:line="560" w:lineRule="exact"/>
        <w:outlineLvl w:val="0"/>
        <w:rPr>
          <w:rFonts w:ascii="仿宋_GB2312" w:hAnsi="仿宋"/>
          <w:color w:val="auto"/>
          <w:sz w:val="28"/>
          <w:szCs w:val="28"/>
        </w:rPr>
      </w:pPr>
      <w:r>
        <w:rPr>
          <w:rFonts w:hint="eastAsia" w:ascii="仿宋_GB2312" w:hAnsi="仿宋" w:cs="仿宋_GB2312"/>
          <w:color w:val="auto"/>
          <w:sz w:val="28"/>
          <w:szCs w:val="28"/>
        </w:rPr>
        <w:t>其中：</w:t>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X</w:t>
      </w:r>
      <w:r>
        <w:rPr>
          <w:rFonts w:ascii="仿宋_GB2312" w:hAnsi="仿宋" w:cs="仿宋_GB2312"/>
          <w:color w:val="auto"/>
          <w:sz w:val="28"/>
          <w:szCs w:val="28"/>
          <w:vertAlign w:val="subscript"/>
        </w:rPr>
        <w:t>s</w:t>
      </w:r>
      <w:r>
        <w:rPr>
          <w:rFonts w:hint="eastAsia" w:ascii="仿宋_GB2312" w:hAnsi="仿宋" w:cs="仿宋_GB2312"/>
          <w:color w:val="auto"/>
          <w:sz w:val="28"/>
          <w:szCs w:val="28"/>
        </w:rPr>
        <w:t>：从业企业在该省或部属单位评价期内信用评价得分；</w:t>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T</w:t>
      </w:r>
      <w:r>
        <w:rPr>
          <w:rFonts w:hint="eastAsia" w:ascii="仿宋_GB2312" w:hAnsi="仿宋" w:cs="仿宋_GB2312"/>
          <w:color w:val="auto"/>
          <w:sz w:val="28"/>
          <w:szCs w:val="28"/>
        </w:rPr>
        <w:t>：企业投标行为评价得分；</w:t>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L</w:t>
      </w:r>
      <w:r>
        <w:rPr>
          <w:rFonts w:hint="eastAsia" w:ascii="仿宋_GB2312" w:hAnsi="仿宋" w:cs="仿宋_GB2312"/>
          <w:color w:val="auto"/>
          <w:sz w:val="28"/>
          <w:szCs w:val="28"/>
        </w:rPr>
        <w:t>：企业履约行为评价得分；</w:t>
      </w:r>
      <w:r>
        <w:rPr>
          <w:rFonts w:ascii="仿宋_GB2312" w:hAnsi="仿宋" w:cs="仿宋_GB2312"/>
          <w:color w:val="auto"/>
          <w:sz w:val="28"/>
          <w:szCs w:val="28"/>
        </w:rPr>
        <w:t xml:space="preserve"> </w:t>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Q</w:t>
      </w:r>
      <w:r>
        <w:rPr>
          <w:rFonts w:hint="eastAsia" w:ascii="仿宋_GB2312" w:hAnsi="仿宋" w:cs="仿宋_GB2312"/>
          <w:color w:val="auto"/>
          <w:sz w:val="28"/>
          <w:szCs w:val="28"/>
        </w:rPr>
        <w:t>：其他信用行为中失信行为评价得分；</w:t>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a</w:t>
      </w:r>
      <w:r>
        <w:rPr>
          <w:rFonts w:hint="eastAsia" w:ascii="仿宋_GB2312" w:hAnsi="仿宋" w:cs="仿宋_GB2312"/>
          <w:color w:val="auto"/>
          <w:sz w:val="28"/>
          <w:szCs w:val="28"/>
        </w:rPr>
        <w:t>：当年权重系数，取值：</w:t>
      </w:r>
      <w:r>
        <w:rPr>
          <w:rFonts w:ascii="仿宋_GB2312" w:hAnsi="仿宋" w:cs="仿宋_GB2312"/>
          <w:color w:val="auto"/>
          <w:sz w:val="28"/>
          <w:szCs w:val="28"/>
        </w:rPr>
        <w:t>70%</w:t>
      </w:r>
      <w:r>
        <w:rPr>
          <w:rFonts w:hint="eastAsia" w:ascii="仿宋_GB2312" w:hAnsi="仿宋" w:cs="仿宋_GB2312"/>
          <w:color w:val="auto"/>
          <w:sz w:val="28"/>
          <w:szCs w:val="28"/>
        </w:rPr>
        <w:t>；</w:t>
      </w:r>
    </w:p>
    <w:p>
      <w:pPr>
        <w:tabs>
          <w:tab w:val="left" w:pos="4764"/>
        </w:tabs>
        <w:adjustRightInd w:val="0"/>
        <w:snapToGrid w:val="0"/>
        <w:spacing w:line="560" w:lineRule="exact"/>
        <w:ind w:left="964" w:leftChars="170" w:hanging="420" w:hangingChars="150"/>
        <w:rPr>
          <w:rFonts w:ascii="仿宋_GB2312" w:hAnsi="仿宋"/>
          <w:color w:val="auto"/>
          <w:sz w:val="28"/>
          <w:szCs w:val="28"/>
        </w:rPr>
      </w:pPr>
      <w:r>
        <w:rPr>
          <w:rFonts w:ascii="仿宋_GB2312" w:hAnsi="仿宋" w:cs="仿宋_GB2312"/>
          <w:color w:val="auto"/>
          <w:sz w:val="28"/>
          <w:szCs w:val="28"/>
        </w:rPr>
        <w:t>x</w:t>
      </w:r>
      <w:r>
        <w:rPr>
          <w:rFonts w:hint="eastAsia" w:ascii="仿宋_GB2312" w:hAnsi="仿宋" w:cs="仿宋_GB2312"/>
          <w:color w:val="auto"/>
          <w:sz w:val="28"/>
          <w:szCs w:val="28"/>
        </w:rPr>
        <w:t>：前一年度信用得分。当前一年度信用评价等级直接定为</w:t>
      </w:r>
      <w:r>
        <w:rPr>
          <w:rFonts w:ascii="仿宋_GB2312" w:hAnsi="仿宋" w:cs="仿宋_GB2312"/>
          <w:color w:val="auto"/>
          <w:sz w:val="28"/>
          <w:szCs w:val="28"/>
        </w:rPr>
        <w:t>D</w:t>
      </w:r>
      <w:r>
        <w:rPr>
          <w:rFonts w:hint="eastAsia" w:ascii="仿宋_GB2312" w:hAnsi="仿宋" w:cs="仿宋_GB2312"/>
          <w:color w:val="auto"/>
          <w:sz w:val="28"/>
          <w:szCs w:val="28"/>
        </w:rPr>
        <w:t>级的，信用得分按</w:t>
      </w:r>
      <w:r>
        <w:rPr>
          <w:rFonts w:ascii="仿宋_GB2312" w:hAnsi="仿宋" w:cs="仿宋_GB2312"/>
          <w:color w:val="auto"/>
          <w:sz w:val="28"/>
          <w:szCs w:val="28"/>
        </w:rPr>
        <w:t>50</w:t>
      </w:r>
      <w:r>
        <w:rPr>
          <w:rFonts w:hint="eastAsia" w:ascii="仿宋_GB2312" w:hAnsi="仿宋" w:cs="仿宋_GB2312"/>
          <w:color w:val="auto"/>
          <w:sz w:val="28"/>
          <w:szCs w:val="28"/>
        </w:rPr>
        <w:t>分计；</w:t>
      </w:r>
      <w:r>
        <w:rPr>
          <w:rFonts w:ascii="仿宋_GB2312" w:hAnsi="仿宋"/>
          <w:color w:val="auto"/>
          <w:sz w:val="28"/>
          <w:szCs w:val="28"/>
        </w:rPr>
        <w:tab/>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b</w:t>
      </w:r>
      <w:r>
        <w:rPr>
          <w:rFonts w:hint="eastAsia" w:ascii="仿宋_GB2312" w:hAnsi="仿宋" w:cs="仿宋_GB2312"/>
          <w:color w:val="auto"/>
          <w:sz w:val="28"/>
          <w:szCs w:val="28"/>
        </w:rPr>
        <w:t>：前一年度信用分权重系数，取值：</w:t>
      </w:r>
      <w:r>
        <w:rPr>
          <w:rFonts w:ascii="仿宋_GB2312" w:hAnsi="仿宋" w:cs="仿宋_GB2312"/>
          <w:color w:val="auto"/>
          <w:sz w:val="28"/>
          <w:szCs w:val="28"/>
        </w:rPr>
        <w:t>20%</w:t>
      </w:r>
      <w:r>
        <w:rPr>
          <w:rFonts w:hint="eastAsia" w:ascii="仿宋_GB2312" w:hAnsi="仿宋" w:cs="仿宋_GB2312"/>
          <w:color w:val="auto"/>
          <w:sz w:val="28"/>
          <w:szCs w:val="28"/>
        </w:rPr>
        <w:t>；</w:t>
      </w:r>
    </w:p>
    <w:p>
      <w:pPr>
        <w:tabs>
          <w:tab w:val="left" w:pos="4764"/>
        </w:tabs>
        <w:adjustRightInd w:val="0"/>
        <w:snapToGrid w:val="0"/>
        <w:spacing w:line="560" w:lineRule="exact"/>
        <w:ind w:left="824" w:leftChars="170" w:hanging="280" w:hangingChars="100"/>
        <w:rPr>
          <w:rFonts w:ascii="仿宋_GB2312" w:hAnsi="仿宋"/>
          <w:color w:val="auto"/>
          <w:sz w:val="28"/>
          <w:szCs w:val="28"/>
        </w:rPr>
      </w:pPr>
      <w:r>
        <w:rPr>
          <w:rFonts w:ascii="仿宋_GB2312" w:hAnsi="仿宋" w:cs="仿宋_GB2312"/>
          <w:color w:val="auto"/>
          <w:sz w:val="28"/>
          <w:szCs w:val="28"/>
        </w:rPr>
        <w:t>y</w:t>
      </w:r>
      <w:r>
        <w:rPr>
          <w:rFonts w:hint="eastAsia" w:ascii="仿宋_GB2312" w:hAnsi="仿宋" w:cs="仿宋_GB2312"/>
          <w:color w:val="auto"/>
          <w:sz w:val="28"/>
          <w:szCs w:val="28"/>
        </w:rPr>
        <w:t>：前两年度信用得分。当前两年度信用评价等级直接定为</w:t>
      </w:r>
      <w:r>
        <w:rPr>
          <w:rFonts w:ascii="仿宋_GB2312" w:hAnsi="仿宋" w:cs="仿宋_GB2312"/>
          <w:color w:val="auto"/>
          <w:sz w:val="28"/>
          <w:szCs w:val="28"/>
        </w:rPr>
        <w:t>D</w:t>
      </w:r>
      <w:r>
        <w:rPr>
          <w:rFonts w:hint="eastAsia" w:ascii="仿宋_GB2312" w:hAnsi="仿宋" w:cs="仿宋_GB2312"/>
          <w:color w:val="auto"/>
          <w:sz w:val="28"/>
          <w:szCs w:val="28"/>
        </w:rPr>
        <w:t>级的，信用得分按</w:t>
      </w:r>
      <w:r>
        <w:rPr>
          <w:rFonts w:ascii="仿宋_GB2312" w:hAnsi="仿宋" w:cs="仿宋_GB2312"/>
          <w:color w:val="auto"/>
          <w:sz w:val="28"/>
          <w:szCs w:val="28"/>
        </w:rPr>
        <w:t>50</w:t>
      </w:r>
      <w:r>
        <w:rPr>
          <w:rFonts w:hint="eastAsia" w:ascii="仿宋_GB2312" w:hAnsi="仿宋" w:cs="仿宋_GB2312"/>
          <w:color w:val="auto"/>
          <w:sz w:val="28"/>
          <w:szCs w:val="28"/>
        </w:rPr>
        <w:t>分计；</w:t>
      </w:r>
    </w:p>
    <w:p>
      <w:pPr>
        <w:adjustRightInd w:val="0"/>
        <w:snapToGrid w:val="0"/>
        <w:spacing w:line="560" w:lineRule="exact"/>
        <w:ind w:firstLine="478" w:firstLineChars="171"/>
        <w:rPr>
          <w:rFonts w:ascii="仿宋_GB2312" w:hAnsi="仿宋"/>
          <w:color w:val="auto"/>
          <w:sz w:val="28"/>
          <w:szCs w:val="28"/>
        </w:rPr>
      </w:pPr>
      <w:r>
        <w:rPr>
          <w:rFonts w:ascii="仿宋_GB2312" w:hAnsi="仿宋" w:cs="仿宋_GB2312"/>
          <w:color w:val="auto"/>
          <w:sz w:val="28"/>
          <w:szCs w:val="28"/>
        </w:rPr>
        <w:t>c</w:t>
      </w:r>
      <w:r>
        <w:rPr>
          <w:rFonts w:hint="eastAsia" w:ascii="仿宋_GB2312" w:hAnsi="仿宋" w:cs="仿宋_GB2312"/>
          <w:color w:val="auto"/>
          <w:sz w:val="28"/>
          <w:szCs w:val="28"/>
        </w:rPr>
        <w:t>：前两年度信用分权重系数，取值：</w:t>
      </w:r>
      <w:r>
        <w:rPr>
          <w:rFonts w:ascii="仿宋_GB2312" w:hAnsi="仿宋" w:cs="仿宋_GB2312"/>
          <w:color w:val="auto"/>
          <w:sz w:val="28"/>
          <w:szCs w:val="28"/>
        </w:rPr>
        <w:t>10%</w:t>
      </w:r>
      <w:r>
        <w:rPr>
          <w:rFonts w:hint="eastAsia" w:ascii="仿宋_GB2312" w:hAnsi="仿宋" w:cs="仿宋_GB2312"/>
          <w:color w:val="auto"/>
          <w:sz w:val="28"/>
          <w:szCs w:val="28"/>
        </w:rPr>
        <w:t>。</w:t>
      </w:r>
    </w:p>
    <w:p>
      <w:pPr>
        <w:adjustRightInd w:val="0"/>
        <w:snapToGrid w:val="0"/>
        <w:spacing w:line="540" w:lineRule="exact"/>
        <w:ind w:firstLine="478" w:firstLineChars="171"/>
        <w:rPr>
          <w:rFonts w:ascii="仿宋_GB2312" w:hAnsi="仿宋"/>
          <w:color w:val="auto"/>
          <w:sz w:val="28"/>
          <w:szCs w:val="28"/>
        </w:rPr>
      </w:pPr>
      <w:r>
        <w:rPr>
          <w:rFonts w:ascii="仿宋_GB2312" w:hAnsi="仿宋" w:cs="仿宋_GB2312"/>
          <w:color w:val="auto"/>
          <w:sz w:val="28"/>
          <w:szCs w:val="28"/>
        </w:rPr>
        <w:t xml:space="preserve">J: </w:t>
      </w:r>
      <w:r>
        <w:rPr>
          <w:rFonts w:hint="eastAsia" w:ascii="仿宋_GB2312" w:hAnsi="仿宋" w:cs="仿宋_GB2312"/>
          <w:color w:val="auto"/>
          <w:sz w:val="28"/>
          <w:szCs w:val="28"/>
        </w:rPr>
        <w:t>根据本办法规定给予的加分（其他信用行为中良好信誉行为评价得分）。</w:t>
      </w:r>
    </w:p>
    <w:p>
      <w:pPr>
        <w:adjustRightInd w:val="0"/>
        <w:snapToGrid w:val="0"/>
        <w:spacing w:line="540" w:lineRule="exact"/>
        <w:rPr>
          <w:rFonts w:ascii="仿宋_GB2312" w:hAnsi="仿宋"/>
          <w:color w:val="auto"/>
          <w:sz w:val="28"/>
          <w:szCs w:val="28"/>
        </w:rPr>
      </w:pPr>
      <w:r>
        <w:rPr>
          <w:rFonts w:hint="eastAsia" w:ascii="仿宋_GB2312" w:hAnsi="仿宋" w:cs="仿宋_GB2312"/>
          <w:color w:val="auto"/>
          <w:sz w:val="28"/>
          <w:szCs w:val="28"/>
        </w:rPr>
        <w:t>说明：</w:t>
      </w:r>
    </w:p>
    <w:p>
      <w:pPr>
        <w:adjustRightInd w:val="0"/>
        <w:snapToGrid w:val="0"/>
        <w:spacing w:line="540" w:lineRule="exact"/>
        <w:ind w:firstLine="549"/>
        <w:rPr>
          <w:rFonts w:ascii="仿宋_GB2312" w:hAnsi="仿宋"/>
          <w:color w:val="auto"/>
          <w:sz w:val="28"/>
          <w:szCs w:val="28"/>
        </w:rPr>
      </w:pPr>
      <w:r>
        <w:rPr>
          <w:rFonts w:ascii="仿宋_GB2312" w:hAnsi="仿宋" w:cs="仿宋_GB2312"/>
          <w:color w:val="auto"/>
          <w:sz w:val="28"/>
          <w:szCs w:val="28"/>
        </w:rPr>
        <w:t>1.</w:t>
      </w:r>
      <w:r>
        <w:rPr>
          <w:rFonts w:hint="eastAsia" w:ascii="仿宋_GB2312" w:hAnsi="仿宋" w:cs="仿宋_GB2312"/>
          <w:color w:val="auto"/>
          <w:sz w:val="28"/>
          <w:szCs w:val="28"/>
        </w:rPr>
        <w:t>企业当年无履约行为、仅有投标行为但无失信行为的，不进行综合评价。</w:t>
      </w:r>
    </w:p>
    <w:p>
      <w:pPr>
        <w:adjustRightInd w:val="0"/>
        <w:snapToGrid w:val="0"/>
        <w:spacing w:line="540" w:lineRule="exact"/>
        <w:ind w:firstLine="549"/>
        <w:rPr>
          <w:rFonts w:ascii="仿宋_GB2312" w:hAnsi="仿宋"/>
          <w:color w:val="auto"/>
          <w:sz w:val="28"/>
          <w:szCs w:val="28"/>
        </w:rPr>
      </w:pPr>
      <w:r>
        <w:rPr>
          <w:rFonts w:ascii="仿宋_GB2312" w:hAnsi="仿宋" w:cs="仿宋_GB2312"/>
          <w:color w:val="auto"/>
          <w:sz w:val="28"/>
          <w:szCs w:val="28"/>
        </w:rPr>
        <w:t>2.</w:t>
      </w:r>
      <w:r>
        <w:rPr>
          <w:rFonts w:hint="eastAsia" w:ascii="仿宋_GB2312" w:hAnsi="仿宋" w:cs="仿宋_GB2312"/>
          <w:color w:val="auto"/>
          <w:sz w:val="28"/>
          <w:szCs w:val="28"/>
        </w:rPr>
        <w:t>企业当年无履约行为、仅有投标行为且有失信行为的，进行综合评价，</w:t>
      </w:r>
      <w:r>
        <w:rPr>
          <w:rFonts w:ascii="仿宋_GB2312" w:hAnsi="仿宋" w:cs="仿宋_GB2312"/>
          <w:color w:val="auto"/>
          <w:sz w:val="28"/>
          <w:szCs w:val="28"/>
        </w:rPr>
        <w:t>L</w:t>
      </w:r>
      <w:r>
        <w:rPr>
          <w:rFonts w:hint="eastAsia" w:ascii="仿宋_GB2312" w:hAnsi="仿宋" w:cs="仿宋_GB2312"/>
          <w:color w:val="auto"/>
          <w:sz w:val="28"/>
          <w:szCs w:val="28"/>
        </w:rPr>
        <w:t>按</w:t>
      </w:r>
      <w:r>
        <w:rPr>
          <w:rFonts w:ascii="仿宋_GB2312" w:hAnsi="仿宋" w:cs="仿宋_GB2312"/>
          <w:color w:val="auto"/>
          <w:sz w:val="28"/>
          <w:szCs w:val="28"/>
        </w:rPr>
        <w:t>65</w:t>
      </w:r>
      <w:r>
        <w:rPr>
          <w:rFonts w:hint="eastAsia" w:ascii="仿宋_GB2312" w:hAnsi="仿宋" w:cs="仿宋_GB2312"/>
          <w:color w:val="auto"/>
          <w:sz w:val="28"/>
          <w:szCs w:val="28"/>
        </w:rPr>
        <w:t>分取值。</w:t>
      </w:r>
    </w:p>
    <w:p>
      <w:pPr>
        <w:adjustRightInd w:val="0"/>
        <w:snapToGrid w:val="0"/>
        <w:spacing w:line="540" w:lineRule="exact"/>
        <w:ind w:firstLine="478" w:firstLineChars="171"/>
        <w:rPr>
          <w:rFonts w:ascii="仿宋_GB2312" w:hAnsi="仿宋"/>
          <w:color w:val="auto"/>
          <w:sz w:val="28"/>
          <w:szCs w:val="28"/>
        </w:rPr>
      </w:pPr>
      <w:r>
        <w:rPr>
          <w:rFonts w:ascii="仿宋_GB2312" w:hAnsi="仿宋" w:cs="仿宋_GB2312"/>
          <w:color w:val="auto"/>
          <w:sz w:val="28"/>
          <w:szCs w:val="28"/>
        </w:rPr>
        <w:t>3.</w:t>
      </w:r>
      <w:r>
        <w:rPr>
          <w:rFonts w:hint="eastAsia" w:ascii="仿宋_GB2312" w:hAnsi="仿宋" w:cs="仿宋_GB2312"/>
          <w:color w:val="auto"/>
          <w:sz w:val="28"/>
          <w:szCs w:val="28"/>
        </w:rPr>
        <w:t>企业当年无投标行为但有履约行为的，</w:t>
      </w:r>
      <w:r>
        <w:rPr>
          <w:rFonts w:ascii="仿宋_GB2312" w:hAnsi="仿宋" w:cs="仿宋_GB2312"/>
          <w:color w:val="auto"/>
          <w:sz w:val="28"/>
          <w:szCs w:val="28"/>
        </w:rPr>
        <w:t>T</w:t>
      </w:r>
      <w:r>
        <w:rPr>
          <w:rFonts w:hint="eastAsia" w:ascii="仿宋_GB2312" w:hAnsi="仿宋" w:cs="仿宋_GB2312"/>
          <w:color w:val="auto"/>
          <w:sz w:val="28"/>
          <w:szCs w:val="28"/>
        </w:rPr>
        <w:t>按</w:t>
      </w:r>
      <w:r>
        <w:rPr>
          <w:rFonts w:ascii="仿宋_GB2312" w:hAnsi="仿宋" w:cs="仿宋_GB2312"/>
          <w:color w:val="auto"/>
          <w:sz w:val="28"/>
          <w:szCs w:val="28"/>
        </w:rPr>
        <w:t>15</w:t>
      </w:r>
      <w:r>
        <w:rPr>
          <w:rFonts w:hint="eastAsia" w:ascii="仿宋_GB2312" w:hAnsi="仿宋" w:cs="仿宋_GB2312"/>
          <w:color w:val="auto"/>
          <w:sz w:val="28"/>
          <w:szCs w:val="28"/>
        </w:rPr>
        <w:t>分取值。</w:t>
      </w:r>
    </w:p>
    <w:p>
      <w:pPr>
        <w:adjustRightInd w:val="0"/>
        <w:snapToGrid w:val="0"/>
        <w:spacing w:line="540" w:lineRule="exact"/>
        <w:ind w:firstLine="549"/>
        <w:rPr>
          <w:rFonts w:hint="eastAsia" w:ascii="仿宋_GB2312" w:hAnsi="仿宋" w:cs="仿宋_GB2312"/>
          <w:color w:val="auto"/>
          <w:sz w:val="28"/>
          <w:szCs w:val="28"/>
        </w:rPr>
      </w:pPr>
      <w:r>
        <w:rPr>
          <w:rFonts w:ascii="仿宋_GB2312" w:hAnsi="仿宋" w:cs="仿宋_GB2312"/>
          <w:color w:val="auto"/>
          <w:sz w:val="28"/>
          <w:szCs w:val="28"/>
        </w:rPr>
        <w:t>4.</w:t>
      </w:r>
      <w:r>
        <w:rPr>
          <w:rFonts w:hint="eastAsia" w:ascii="仿宋_GB2312" w:hAnsi="仿宋" w:cs="仿宋_GB2312"/>
          <w:color w:val="auto"/>
          <w:sz w:val="28"/>
          <w:szCs w:val="28"/>
        </w:rPr>
        <w:t>企业第一年参加信用评价时，</w:t>
      </w:r>
      <w:r>
        <w:rPr>
          <w:rFonts w:ascii="仿宋_GB2312" w:hAnsi="仿宋" w:cs="仿宋_GB2312"/>
          <w:color w:val="auto"/>
          <w:sz w:val="28"/>
          <w:szCs w:val="28"/>
        </w:rPr>
        <w:t>a=100%</w:t>
      </w:r>
      <w:r>
        <w:rPr>
          <w:rFonts w:hint="eastAsia" w:ascii="仿宋_GB2312" w:hAnsi="仿宋" w:cs="仿宋_GB2312"/>
          <w:color w:val="auto"/>
          <w:sz w:val="28"/>
          <w:szCs w:val="28"/>
        </w:rPr>
        <w:t>，第二年参加信用评价时，</w:t>
      </w:r>
      <w:r>
        <w:rPr>
          <w:rFonts w:ascii="仿宋_GB2312" w:hAnsi="仿宋" w:cs="仿宋_GB2312"/>
          <w:color w:val="auto"/>
          <w:sz w:val="28"/>
          <w:szCs w:val="28"/>
        </w:rPr>
        <w:t>a=80%</w:t>
      </w:r>
      <w:r>
        <w:rPr>
          <w:rFonts w:hint="eastAsia" w:ascii="仿宋_GB2312" w:hAnsi="仿宋" w:cs="仿宋_GB2312"/>
          <w:color w:val="auto"/>
          <w:sz w:val="28"/>
          <w:szCs w:val="28"/>
        </w:rPr>
        <w:t>、</w:t>
      </w:r>
      <w:r>
        <w:rPr>
          <w:rFonts w:ascii="仿宋_GB2312" w:hAnsi="仿宋" w:cs="仿宋_GB2312"/>
          <w:color w:val="auto"/>
          <w:sz w:val="28"/>
          <w:szCs w:val="28"/>
        </w:rPr>
        <w:t>b=20%</w:t>
      </w:r>
      <w:r>
        <w:rPr>
          <w:rFonts w:hint="eastAsia" w:ascii="仿宋_GB2312" w:hAnsi="仿宋" w:cs="仿宋_GB2312"/>
          <w:color w:val="auto"/>
          <w:sz w:val="28"/>
          <w:szCs w:val="28"/>
        </w:rPr>
        <w:t>。</w:t>
      </w:r>
    </w:p>
    <w:p>
      <w:pPr>
        <w:rPr>
          <w:rFonts w:hint="eastAsia" w:ascii="仿宋_GB2312" w:hAnsi="仿宋" w:cs="仿宋_GB2312"/>
          <w:color w:val="auto"/>
          <w:sz w:val="28"/>
          <w:szCs w:val="28"/>
        </w:rPr>
        <w:sectPr>
          <w:pgSz w:w="11906" w:h="16838"/>
          <w:pgMar w:top="1440" w:right="1797" w:bottom="1440" w:left="1797" w:header="851" w:footer="992" w:gutter="0"/>
          <w:pgNumType w:fmt="decimal"/>
          <w:cols w:space="720" w:num="1"/>
          <w:docGrid w:type="lines" w:linePitch="312" w:charSpace="0"/>
        </w:sectPr>
      </w:pPr>
      <w:r>
        <w:rPr>
          <w:rFonts w:ascii="仿宋_GB2312" w:hAnsi="仿宋" w:cs="仿宋_GB2312"/>
          <w:color w:val="auto"/>
          <w:sz w:val="28"/>
          <w:szCs w:val="28"/>
        </w:rPr>
        <w:t xml:space="preserve"> 5.</w:t>
      </w:r>
      <w:r>
        <w:rPr>
          <w:rFonts w:hint="eastAsia" w:ascii="仿宋_GB2312" w:hAnsi="仿宋" w:cs="仿宋_GB2312"/>
          <w:color w:val="auto"/>
          <w:sz w:val="28"/>
          <w:szCs w:val="28"/>
        </w:rPr>
        <w:t>评价期内，当企业有良好信誉行为时，按信用评定标准给予加分，加分后信用评价总分不超过</w:t>
      </w:r>
      <w:r>
        <w:rPr>
          <w:rFonts w:ascii="仿宋_GB2312" w:hAnsi="仿宋" w:cs="仿宋_GB2312"/>
          <w:color w:val="auto"/>
          <w:sz w:val="28"/>
          <w:szCs w:val="28"/>
        </w:rPr>
        <w:t>100</w:t>
      </w:r>
      <w:r>
        <w:rPr>
          <w:rFonts w:hint="eastAsia" w:ascii="仿宋_GB2312" w:hAnsi="仿宋" w:cs="仿宋_GB2312"/>
          <w:color w:val="auto"/>
          <w:sz w:val="28"/>
          <w:szCs w:val="28"/>
        </w:rPr>
        <w:t>分。</w:t>
      </w:r>
    </w:p>
    <w:p>
      <w:pPr>
        <w:jc w:val="left"/>
        <w:rPr>
          <w:rFonts w:hint="eastAsia" w:ascii="黑体" w:hAnsi="黑体" w:eastAsia="黑体"/>
          <w:color w:val="auto"/>
          <w:sz w:val="28"/>
          <w:szCs w:val="28"/>
          <w:lang w:eastAsia="zh-CN"/>
        </w:rPr>
      </w:pPr>
      <w:r>
        <w:rPr>
          <w:rFonts w:hint="eastAsia" w:ascii="黑体" w:hAnsi="黑体" w:eastAsia="黑体"/>
          <w:color w:val="auto"/>
          <w:sz w:val="28"/>
          <w:szCs w:val="28"/>
          <w:lang w:val="en-US" w:eastAsia="zh-CN"/>
        </w:rPr>
        <w:t xml:space="preserve">附件2-4                           </w:t>
      </w:r>
      <w:r>
        <w:rPr>
          <w:rFonts w:hint="eastAsia" w:ascii="宋体" w:hAnsi="宋体" w:eastAsia="宋体" w:cs="宋体"/>
          <w:color w:val="auto"/>
          <w:sz w:val="28"/>
          <w:szCs w:val="28"/>
          <w:lang w:val="en-US" w:eastAsia="zh-CN"/>
        </w:rPr>
        <w:t>从业单位</w:t>
      </w:r>
      <w:r>
        <w:rPr>
          <w:rFonts w:hint="eastAsia" w:ascii="宋体" w:hAnsi="宋体" w:eastAsia="宋体" w:cs="宋体"/>
          <w:color w:val="auto"/>
          <w:sz w:val="28"/>
          <w:szCs w:val="28"/>
        </w:rPr>
        <w:t>信用评价</w:t>
      </w:r>
      <w:r>
        <w:rPr>
          <w:rFonts w:hint="eastAsia" w:ascii="宋体" w:hAnsi="宋体" w:eastAsia="宋体" w:cs="宋体"/>
          <w:color w:val="auto"/>
          <w:sz w:val="28"/>
          <w:szCs w:val="28"/>
          <w:lang w:val="en-US" w:eastAsia="zh-CN"/>
        </w:rPr>
        <w:t>应急</w:t>
      </w:r>
      <w:r>
        <w:rPr>
          <w:rFonts w:hint="eastAsia" w:ascii="宋体" w:hAnsi="宋体" w:eastAsia="宋体" w:cs="宋体"/>
          <w:color w:val="auto"/>
          <w:sz w:val="28"/>
          <w:szCs w:val="28"/>
        </w:rPr>
        <w:t>抢险加分标准</w:t>
      </w:r>
    </w:p>
    <w:tbl>
      <w:tblPr>
        <w:tblStyle w:val="6"/>
        <w:tblW w:w="15451" w:type="dxa"/>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741"/>
        <w:gridCol w:w="1880"/>
        <w:gridCol w:w="1746"/>
        <w:gridCol w:w="1954"/>
        <w:gridCol w:w="1190"/>
        <w:gridCol w:w="1290"/>
        <w:gridCol w:w="1230"/>
        <w:gridCol w:w="1320"/>
        <w:gridCol w:w="1236"/>
        <w:gridCol w:w="22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7" w:type="dxa"/>
            <w:vMerge w:val="restart"/>
            <w:vAlign w:val="center"/>
          </w:tcPr>
          <w:p>
            <w:pPr>
              <w:widowControl/>
              <w:adjustRightInd w:val="0"/>
              <w:snapToGrid w:val="0"/>
              <w:jc w:val="center"/>
              <w:rPr>
                <w:rFonts w:ascii="黑体" w:hAnsi="黑体" w:eastAsia="黑体" w:cs="Arial"/>
                <w:color w:val="auto"/>
                <w:kern w:val="0"/>
                <w:sz w:val="21"/>
                <w:szCs w:val="21"/>
              </w:rPr>
            </w:pPr>
            <w:r>
              <w:rPr>
                <w:rFonts w:hint="eastAsia" w:ascii="黑体" w:hAnsi="黑体" w:eastAsia="黑体" w:cs="Arial"/>
                <w:color w:val="auto"/>
                <w:kern w:val="0"/>
                <w:sz w:val="21"/>
                <w:szCs w:val="21"/>
              </w:rPr>
              <w:t>序号</w:t>
            </w:r>
          </w:p>
        </w:tc>
        <w:tc>
          <w:tcPr>
            <w:tcW w:w="741" w:type="dxa"/>
            <w:vMerge w:val="restart"/>
            <w:vAlign w:val="center"/>
          </w:tcPr>
          <w:p>
            <w:pPr>
              <w:widowControl/>
              <w:adjustRightInd w:val="0"/>
              <w:snapToGrid w:val="0"/>
              <w:jc w:val="center"/>
              <w:rPr>
                <w:rFonts w:ascii="黑体" w:hAnsi="黑体" w:eastAsia="黑体" w:cs="Arial"/>
                <w:color w:val="auto"/>
                <w:kern w:val="0"/>
                <w:sz w:val="21"/>
                <w:szCs w:val="21"/>
              </w:rPr>
            </w:pPr>
            <w:r>
              <w:rPr>
                <w:rFonts w:hint="eastAsia" w:ascii="黑体" w:hAnsi="黑体" w:eastAsia="黑体" w:cs="Arial"/>
                <w:color w:val="auto"/>
                <w:kern w:val="0"/>
                <w:sz w:val="21"/>
                <w:szCs w:val="21"/>
              </w:rPr>
              <w:t>项目</w:t>
            </w:r>
          </w:p>
        </w:tc>
        <w:tc>
          <w:tcPr>
            <w:tcW w:w="1880" w:type="dxa"/>
            <w:vMerge w:val="restart"/>
            <w:vAlign w:val="center"/>
          </w:tcPr>
          <w:p>
            <w:pPr>
              <w:widowControl/>
              <w:adjustRightInd w:val="0"/>
              <w:snapToGrid w:val="0"/>
              <w:jc w:val="center"/>
              <w:rPr>
                <w:rFonts w:hint="eastAsia" w:ascii="黑体" w:hAnsi="黑体" w:eastAsia="黑体" w:cs="Arial"/>
                <w:color w:val="auto"/>
                <w:kern w:val="0"/>
                <w:sz w:val="21"/>
                <w:szCs w:val="21"/>
              </w:rPr>
            </w:pPr>
            <w:r>
              <w:rPr>
                <w:rFonts w:hint="eastAsia" w:ascii="黑体" w:hAnsi="黑体" w:eastAsia="黑体" w:cs="Arial"/>
                <w:color w:val="auto"/>
                <w:kern w:val="0"/>
                <w:sz w:val="21"/>
                <w:szCs w:val="21"/>
              </w:rPr>
              <w:t>加分行为</w:t>
            </w:r>
          </w:p>
          <w:p>
            <w:pPr>
              <w:widowControl/>
              <w:adjustRightInd w:val="0"/>
              <w:snapToGrid w:val="0"/>
              <w:jc w:val="center"/>
              <w:rPr>
                <w:rFonts w:ascii="黑体" w:hAnsi="黑体" w:eastAsia="黑体" w:cs="Arial"/>
                <w:color w:val="auto"/>
                <w:kern w:val="0"/>
                <w:sz w:val="21"/>
                <w:szCs w:val="21"/>
              </w:rPr>
            </w:pPr>
            <w:r>
              <w:rPr>
                <w:rFonts w:hint="eastAsia" w:ascii="黑体" w:hAnsi="黑体" w:eastAsia="黑体" w:cs="Arial"/>
                <w:color w:val="auto"/>
                <w:kern w:val="0"/>
                <w:sz w:val="21"/>
                <w:szCs w:val="21"/>
              </w:rPr>
              <w:t>认定标准</w:t>
            </w:r>
          </w:p>
        </w:tc>
        <w:tc>
          <w:tcPr>
            <w:tcW w:w="8730" w:type="dxa"/>
            <w:gridSpan w:val="6"/>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加分值A</w:t>
            </w:r>
          </w:p>
        </w:tc>
        <w:tc>
          <w:tcPr>
            <w:tcW w:w="1236" w:type="dxa"/>
            <w:vMerge w:val="restart"/>
            <w:vAlign w:val="center"/>
          </w:tcPr>
          <w:p>
            <w:pPr>
              <w:adjustRightInd w:val="0"/>
              <w:snapToGrid w:val="0"/>
              <w:jc w:val="center"/>
              <w:rPr>
                <w:rFonts w:ascii="黑体" w:hAnsi="黑体" w:eastAsia="黑体"/>
                <w:color w:val="auto"/>
                <w:sz w:val="21"/>
                <w:szCs w:val="21"/>
              </w:rPr>
            </w:pPr>
            <w:r>
              <w:rPr>
                <w:rFonts w:hint="eastAsia" w:ascii="黑体" w:hAnsi="黑体" w:eastAsia="黑体" w:cs="Arial"/>
                <w:color w:val="auto"/>
                <w:kern w:val="0"/>
                <w:sz w:val="21"/>
                <w:szCs w:val="21"/>
              </w:rPr>
              <w:t>支撑</w:t>
            </w:r>
            <w:r>
              <w:rPr>
                <w:rFonts w:hint="eastAsia" w:ascii="黑体" w:hAnsi="黑体" w:eastAsia="黑体" w:cs="Arial"/>
                <w:color w:val="auto"/>
                <w:kern w:val="0"/>
                <w:sz w:val="21"/>
                <w:szCs w:val="21"/>
                <w:lang w:val="en-US" w:eastAsia="zh-CN"/>
              </w:rPr>
              <w:t>证明</w:t>
            </w:r>
            <w:r>
              <w:rPr>
                <w:rFonts w:hint="eastAsia" w:ascii="黑体" w:hAnsi="黑体" w:eastAsia="黑体" w:cs="Arial"/>
                <w:color w:val="auto"/>
                <w:kern w:val="0"/>
                <w:sz w:val="21"/>
                <w:szCs w:val="21"/>
              </w:rPr>
              <w:t>材料</w:t>
            </w:r>
          </w:p>
        </w:tc>
        <w:tc>
          <w:tcPr>
            <w:tcW w:w="2297" w:type="dxa"/>
            <w:vMerge w:val="restart"/>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7" w:type="dxa"/>
            <w:vMerge w:val="continue"/>
            <w:vAlign w:val="top"/>
          </w:tcPr>
          <w:p>
            <w:pPr>
              <w:rPr>
                <w:color w:val="auto"/>
                <w:sz w:val="21"/>
                <w:szCs w:val="21"/>
              </w:rPr>
            </w:pPr>
          </w:p>
        </w:tc>
        <w:tc>
          <w:tcPr>
            <w:tcW w:w="741" w:type="dxa"/>
            <w:vMerge w:val="continue"/>
            <w:vAlign w:val="center"/>
          </w:tcPr>
          <w:p>
            <w:pPr>
              <w:widowControl/>
              <w:adjustRightInd w:val="0"/>
              <w:snapToGrid w:val="0"/>
              <w:jc w:val="center"/>
              <w:rPr>
                <w:rFonts w:ascii="仿宋_GB2312" w:hAnsi="宋体" w:eastAsia="仿宋_GB2312" w:cs="Arial"/>
                <w:color w:val="auto"/>
                <w:kern w:val="0"/>
                <w:sz w:val="21"/>
                <w:szCs w:val="21"/>
              </w:rPr>
            </w:pPr>
          </w:p>
        </w:tc>
        <w:tc>
          <w:tcPr>
            <w:tcW w:w="1880" w:type="dxa"/>
            <w:vMerge w:val="continue"/>
            <w:vAlign w:val="center"/>
          </w:tcPr>
          <w:p>
            <w:pPr>
              <w:widowControl/>
              <w:jc w:val="left"/>
              <w:rPr>
                <w:rFonts w:ascii="仿宋_GB2312" w:hAnsi="宋体" w:eastAsia="仿宋_GB2312" w:cs="Arial"/>
                <w:color w:val="auto"/>
                <w:kern w:val="0"/>
                <w:sz w:val="21"/>
                <w:szCs w:val="21"/>
              </w:rPr>
            </w:pPr>
          </w:p>
        </w:tc>
        <w:tc>
          <w:tcPr>
            <w:tcW w:w="3700" w:type="dxa"/>
            <w:gridSpan w:val="2"/>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投入的抢险力量</w:t>
            </w:r>
          </w:p>
        </w:tc>
        <w:tc>
          <w:tcPr>
            <w:tcW w:w="1190" w:type="dxa"/>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抢险时间</w:t>
            </w:r>
          </w:p>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24小时以内</w:t>
            </w:r>
          </w:p>
        </w:tc>
        <w:tc>
          <w:tcPr>
            <w:tcW w:w="1290" w:type="dxa"/>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抢险时间</w:t>
            </w:r>
          </w:p>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24—48小时</w:t>
            </w:r>
          </w:p>
        </w:tc>
        <w:tc>
          <w:tcPr>
            <w:tcW w:w="1230" w:type="dxa"/>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抢险时间</w:t>
            </w:r>
          </w:p>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48—72小时</w:t>
            </w:r>
          </w:p>
        </w:tc>
        <w:tc>
          <w:tcPr>
            <w:tcW w:w="1320" w:type="dxa"/>
            <w:vAlign w:val="center"/>
          </w:tcPr>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抢险时间</w:t>
            </w:r>
          </w:p>
          <w:p>
            <w:pPr>
              <w:adjustRightInd w:val="0"/>
              <w:snapToGrid w:val="0"/>
              <w:jc w:val="center"/>
              <w:rPr>
                <w:rFonts w:ascii="黑体" w:hAnsi="黑体" w:eastAsia="黑体"/>
                <w:color w:val="auto"/>
                <w:sz w:val="21"/>
                <w:szCs w:val="21"/>
              </w:rPr>
            </w:pPr>
            <w:r>
              <w:rPr>
                <w:rFonts w:hint="eastAsia" w:ascii="黑体" w:hAnsi="黑体" w:eastAsia="黑体"/>
                <w:color w:val="auto"/>
                <w:sz w:val="21"/>
                <w:szCs w:val="21"/>
              </w:rPr>
              <w:t>72小时以上</w:t>
            </w:r>
          </w:p>
        </w:tc>
        <w:tc>
          <w:tcPr>
            <w:tcW w:w="1236" w:type="dxa"/>
            <w:vMerge w:val="continue"/>
            <w:vAlign w:val="top"/>
          </w:tcPr>
          <w:p>
            <w:pPr>
              <w:rPr>
                <w:color w:val="auto"/>
                <w:sz w:val="21"/>
                <w:szCs w:val="21"/>
              </w:rPr>
            </w:pPr>
          </w:p>
        </w:tc>
        <w:tc>
          <w:tcPr>
            <w:tcW w:w="2297" w:type="dxa"/>
            <w:vMerge w:val="continue"/>
            <w:vAlign w:val="top"/>
          </w:tcPr>
          <w:p>
            <w:pPr>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7" w:type="dxa"/>
            <w:vMerge w:val="restart"/>
            <w:vAlign w:val="center"/>
          </w:tcPr>
          <w:p>
            <w:pPr>
              <w:adjustRightInd w:val="0"/>
              <w:snapToGrid w:val="0"/>
              <w:jc w:val="center"/>
              <w:rPr>
                <w:rFonts w:ascii="仿宋_GB2312" w:hAnsi="宋体" w:eastAsia="仿宋_GB2312" w:cs="Arial"/>
                <w:color w:val="auto"/>
                <w:kern w:val="0"/>
                <w:sz w:val="21"/>
                <w:szCs w:val="21"/>
              </w:rPr>
            </w:pPr>
            <w:r>
              <w:rPr>
                <w:rFonts w:hint="eastAsia" w:ascii="仿宋_GB2312" w:hAnsi="宋体" w:eastAsia="仿宋_GB2312" w:cs="Arial"/>
                <w:color w:val="auto"/>
                <w:kern w:val="0"/>
                <w:sz w:val="21"/>
                <w:szCs w:val="21"/>
              </w:rPr>
              <w:t>1</w:t>
            </w:r>
          </w:p>
        </w:tc>
        <w:tc>
          <w:tcPr>
            <w:tcW w:w="741" w:type="dxa"/>
            <w:vMerge w:val="restart"/>
            <w:vAlign w:val="center"/>
          </w:tcPr>
          <w:p>
            <w:pPr>
              <w:widowControl/>
              <w:adjustRightInd w:val="0"/>
              <w:snapToGrid w:val="0"/>
              <w:jc w:val="center"/>
              <w:rPr>
                <w:rFonts w:ascii="仿宋_GB2312" w:hAnsi="宋体" w:eastAsia="仿宋_GB2312" w:cs="Arial"/>
                <w:color w:val="auto"/>
                <w:kern w:val="0"/>
                <w:sz w:val="21"/>
                <w:szCs w:val="21"/>
              </w:rPr>
            </w:pPr>
            <w:r>
              <w:rPr>
                <w:rFonts w:hint="eastAsia" w:ascii="仿宋_GB2312" w:hAnsi="宋体" w:eastAsia="仿宋_GB2312" w:cs="Arial"/>
                <w:color w:val="auto"/>
                <w:kern w:val="0"/>
                <w:sz w:val="21"/>
                <w:szCs w:val="21"/>
              </w:rPr>
              <w:t>参加由</w:t>
            </w:r>
            <w:r>
              <w:rPr>
                <w:rFonts w:hint="eastAsia" w:ascii="仿宋_GB2312" w:hAnsi="宋体" w:eastAsia="仿宋_GB2312" w:cs="Arial"/>
                <w:color w:val="auto"/>
                <w:kern w:val="0"/>
                <w:sz w:val="21"/>
                <w:szCs w:val="21"/>
                <w:lang w:val="en-US" w:eastAsia="zh-CN"/>
              </w:rPr>
              <w:t>项目</w:t>
            </w:r>
            <w:r>
              <w:rPr>
                <w:rFonts w:hint="eastAsia" w:ascii="仿宋_GB2312" w:hAnsi="宋体" w:eastAsia="仿宋_GB2312" w:cs="Arial"/>
                <w:color w:val="auto"/>
                <w:kern w:val="0"/>
                <w:sz w:val="21"/>
                <w:szCs w:val="21"/>
                <w:lang w:eastAsia="zh-CN"/>
              </w:rPr>
              <w:t>单位</w:t>
            </w:r>
            <w:r>
              <w:rPr>
                <w:rFonts w:hint="eastAsia" w:ascii="仿宋_GB2312" w:hAnsi="宋体" w:eastAsia="仿宋_GB2312" w:cs="Arial"/>
                <w:color w:val="auto"/>
                <w:kern w:val="0"/>
                <w:sz w:val="21"/>
                <w:szCs w:val="21"/>
              </w:rPr>
              <w:t>或</w:t>
            </w:r>
            <w:r>
              <w:rPr>
                <w:rFonts w:hint="eastAsia" w:ascii="仿宋_GB2312" w:hAnsi="宋体" w:eastAsia="仿宋_GB2312" w:cs="Arial"/>
                <w:color w:val="auto"/>
                <w:kern w:val="0"/>
                <w:sz w:val="21"/>
                <w:szCs w:val="21"/>
                <w:lang w:val="en-US" w:eastAsia="zh-CN"/>
              </w:rPr>
              <w:t>有关</w:t>
            </w:r>
            <w:r>
              <w:rPr>
                <w:rFonts w:hint="eastAsia" w:ascii="仿宋_GB2312" w:hAnsi="宋体" w:eastAsia="仿宋_GB2312" w:cs="Arial"/>
                <w:color w:val="auto"/>
                <w:kern w:val="0"/>
                <w:sz w:val="21"/>
                <w:szCs w:val="21"/>
              </w:rPr>
              <w:t>部门组织的应急抢险</w:t>
            </w:r>
          </w:p>
        </w:tc>
        <w:tc>
          <w:tcPr>
            <w:tcW w:w="1880" w:type="dxa"/>
            <w:vMerge w:val="restart"/>
            <w:vAlign w:val="center"/>
          </w:tcPr>
          <w:p>
            <w:pPr>
              <w:widowControl/>
              <w:adjustRightInd w:val="0"/>
              <w:snapToGrid w:val="0"/>
              <w:jc w:val="left"/>
              <w:rPr>
                <w:rFonts w:ascii="仿宋_GB2312" w:hAnsi="宋体" w:eastAsia="仿宋_GB2312" w:cs="Arial"/>
                <w:color w:val="auto"/>
                <w:kern w:val="0"/>
                <w:sz w:val="21"/>
                <w:szCs w:val="21"/>
              </w:rPr>
            </w:pPr>
            <w:r>
              <w:rPr>
                <w:rFonts w:hint="eastAsia" w:ascii="仿宋_GB2312" w:hAnsi="宋体" w:eastAsia="仿宋_GB2312" w:cs="Arial"/>
                <w:color w:val="auto"/>
                <w:kern w:val="0"/>
                <w:sz w:val="21"/>
                <w:szCs w:val="21"/>
                <w:lang w:val="en-US" w:eastAsia="zh-CN"/>
              </w:rPr>
              <w:t>对</w:t>
            </w:r>
            <w:r>
              <w:rPr>
                <w:rFonts w:hint="eastAsia" w:ascii="仿宋_GB2312" w:hAnsi="宋体" w:eastAsia="仿宋_GB2312" w:cs="Arial"/>
                <w:color w:val="auto"/>
                <w:kern w:val="0"/>
                <w:sz w:val="21"/>
                <w:szCs w:val="21"/>
              </w:rPr>
              <w:t>在建项目或其他</w:t>
            </w:r>
            <w:r>
              <w:rPr>
                <w:rFonts w:hint="eastAsia" w:ascii="仿宋_GB2312" w:hAnsi="宋体" w:eastAsia="仿宋_GB2312" w:cs="Arial"/>
                <w:color w:val="auto"/>
                <w:kern w:val="0"/>
                <w:sz w:val="21"/>
                <w:szCs w:val="21"/>
                <w:lang w:val="en-US" w:eastAsia="zh-CN"/>
              </w:rPr>
              <w:t>应急</w:t>
            </w:r>
            <w:r>
              <w:rPr>
                <w:rFonts w:hint="eastAsia" w:ascii="仿宋_GB2312" w:hAnsi="宋体" w:eastAsia="仿宋_GB2312" w:cs="Arial"/>
                <w:color w:val="auto"/>
                <w:kern w:val="0"/>
                <w:sz w:val="21"/>
                <w:szCs w:val="21"/>
              </w:rPr>
              <w:t>抢险等方面作出特别贡献的施工企业或因险情需要、地方政府或当地群众要求，作出特别贡献的企业</w:t>
            </w:r>
          </w:p>
        </w:tc>
        <w:tc>
          <w:tcPr>
            <w:tcW w:w="3700" w:type="dxa"/>
            <w:gridSpan w:val="2"/>
            <w:vAlign w:val="center"/>
          </w:tcPr>
          <w:p>
            <w:pPr>
              <w:adjustRightInd w:val="0"/>
              <w:snapToGrid w:val="0"/>
              <w:jc w:val="left"/>
              <w:rPr>
                <w:rFonts w:ascii="仿宋_GB2312" w:eastAsia="仿宋_GB2312"/>
                <w:color w:val="auto"/>
                <w:sz w:val="21"/>
                <w:szCs w:val="21"/>
              </w:rPr>
            </w:pPr>
            <w:r>
              <w:rPr>
                <w:rFonts w:hint="eastAsia" w:ascii="仿宋_GB2312" w:eastAsia="仿宋_GB2312"/>
                <w:color w:val="auto"/>
                <w:sz w:val="21"/>
                <w:szCs w:val="21"/>
              </w:rPr>
              <w:t>投入抢险的人数在100人及以上，且投入抢险的大型机械设备在6台及以上</w:t>
            </w:r>
          </w:p>
        </w:tc>
        <w:tc>
          <w:tcPr>
            <w:tcW w:w="1190" w:type="dxa"/>
            <w:vAlign w:val="center"/>
          </w:tcPr>
          <w:p>
            <w:pPr>
              <w:adjustRightInd w:val="0"/>
              <w:snapToGrid w:val="0"/>
              <w:jc w:val="center"/>
              <w:rPr>
                <w:rFonts w:hint="eastAsia" w:ascii="仿宋_GB2312" w:eastAsia="仿宋_GB2312"/>
                <w:color w:val="auto"/>
                <w:sz w:val="21"/>
                <w:szCs w:val="21"/>
                <w:lang w:val="en-US"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5</w:t>
            </w:r>
          </w:p>
        </w:tc>
        <w:tc>
          <w:tcPr>
            <w:tcW w:w="129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6</w:t>
            </w:r>
          </w:p>
        </w:tc>
        <w:tc>
          <w:tcPr>
            <w:tcW w:w="1230" w:type="dxa"/>
            <w:vAlign w:val="center"/>
          </w:tcPr>
          <w:p>
            <w:pPr>
              <w:adjustRightInd w:val="0"/>
              <w:snapToGrid w:val="0"/>
              <w:jc w:val="center"/>
              <w:rPr>
                <w:rFonts w:hint="default" w:ascii="仿宋_GB2312" w:eastAsia="仿宋_GB2312"/>
                <w:color w:val="auto"/>
                <w:sz w:val="21"/>
                <w:szCs w:val="21"/>
                <w:lang w:val="en-US" w:eastAsia="zh-CN"/>
              </w:rPr>
            </w:pPr>
            <w:r>
              <w:rPr>
                <w:rFonts w:hint="eastAsia" w:ascii="仿宋_GB2312" w:eastAsia="仿宋_GB2312"/>
                <w:color w:val="auto"/>
                <w:sz w:val="21"/>
                <w:szCs w:val="21"/>
                <w:lang w:val="en-US" w:eastAsia="zh-CN"/>
              </w:rPr>
              <w:t>0.7</w:t>
            </w:r>
          </w:p>
        </w:tc>
        <w:tc>
          <w:tcPr>
            <w:tcW w:w="1320" w:type="dxa"/>
            <w:vAlign w:val="center"/>
          </w:tcPr>
          <w:p>
            <w:pPr>
              <w:adjustRightInd w:val="0"/>
              <w:snapToGrid w:val="0"/>
              <w:jc w:val="center"/>
              <w:rPr>
                <w:rFonts w:hint="default" w:ascii="仿宋_GB2312" w:eastAsia="仿宋_GB2312"/>
                <w:color w:val="auto"/>
                <w:sz w:val="21"/>
                <w:szCs w:val="21"/>
                <w:lang w:val="en-US" w:eastAsia="zh-CN"/>
              </w:rPr>
            </w:pPr>
            <w:r>
              <w:rPr>
                <w:rFonts w:hint="eastAsia" w:ascii="仿宋_GB2312" w:eastAsia="仿宋_GB2312"/>
                <w:color w:val="auto"/>
                <w:sz w:val="21"/>
                <w:szCs w:val="21"/>
                <w:lang w:val="en-US" w:eastAsia="zh-CN"/>
              </w:rPr>
              <w:t>0.8</w:t>
            </w:r>
          </w:p>
        </w:tc>
        <w:tc>
          <w:tcPr>
            <w:tcW w:w="1236" w:type="dxa"/>
            <w:vMerge w:val="restart"/>
            <w:vAlign w:val="center"/>
          </w:tcPr>
          <w:p>
            <w:pPr>
              <w:adjustRightInd w:val="0"/>
              <w:snapToGrid w:val="0"/>
              <w:jc w:val="center"/>
              <w:rPr>
                <w:rFonts w:ascii="仿宋_GB2312" w:eastAsia="仿宋_GB2312"/>
                <w:color w:val="auto"/>
                <w:sz w:val="21"/>
                <w:szCs w:val="21"/>
              </w:rPr>
            </w:pPr>
            <w:r>
              <w:rPr>
                <w:rFonts w:hint="eastAsia" w:ascii="仿宋_GB2312" w:hAnsi="宋体" w:eastAsia="仿宋_GB2312" w:cs="Arial"/>
                <w:color w:val="auto"/>
                <w:kern w:val="0"/>
                <w:sz w:val="21"/>
                <w:szCs w:val="21"/>
              </w:rPr>
              <w:t>相关部门证明材料或</w:t>
            </w:r>
            <w:r>
              <w:rPr>
                <w:rFonts w:hint="eastAsia" w:ascii="仿宋_GB2312" w:hAnsi="宋体" w:eastAsia="仿宋_GB2312" w:cs="Arial"/>
                <w:color w:val="auto"/>
                <w:kern w:val="0"/>
                <w:sz w:val="21"/>
                <w:szCs w:val="21"/>
                <w:lang w:val="en-US" w:eastAsia="zh-CN"/>
              </w:rPr>
              <w:t>项目建设单位出</w:t>
            </w:r>
            <w:r>
              <w:rPr>
                <w:rFonts w:hint="eastAsia" w:ascii="仿宋_GB2312" w:hAnsi="宋体" w:eastAsia="仿宋_GB2312" w:cs="Arial"/>
                <w:color w:val="auto"/>
                <w:kern w:val="0"/>
                <w:sz w:val="21"/>
                <w:szCs w:val="21"/>
              </w:rPr>
              <w:t>具证明材料或以地方政府</w:t>
            </w:r>
            <w:r>
              <w:rPr>
                <w:rFonts w:hint="eastAsia" w:ascii="仿宋_GB2312" w:hAnsi="宋体" w:eastAsia="仿宋_GB2312" w:cs="Arial"/>
                <w:color w:val="auto"/>
                <w:kern w:val="0"/>
                <w:sz w:val="21"/>
                <w:szCs w:val="21"/>
                <w:lang w:val="en-US" w:eastAsia="zh-CN"/>
              </w:rPr>
              <w:t>有关部门</w:t>
            </w:r>
            <w:r>
              <w:rPr>
                <w:rFonts w:hint="eastAsia" w:ascii="仿宋_GB2312" w:hAnsi="宋体" w:eastAsia="仿宋_GB2312" w:cs="Arial"/>
                <w:color w:val="auto"/>
                <w:kern w:val="0"/>
                <w:sz w:val="21"/>
                <w:szCs w:val="21"/>
              </w:rPr>
              <w:t>出具的证明材料为准。</w:t>
            </w:r>
          </w:p>
        </w:tc>
        <w:tc>
          <w:tcPr>
            <w:tcW w:w="2297" w:type="dxa"/>
            <w:vMerge w:val="restart"/>
            <w:vAlign w:val="center"/>
          </w:tcPr>
          <w:p>
            <w:pPr>
              <w:adjustRightInd w:val="0"/>
              <w:snapToGrid w:val="0"/>
              <w:jc w:val="left"/>
              <w:rPr>
                <w:rFonts w:hint="eastAsia" w:ascii="仿宋_GB2312" w:eastAsia="仿宋_GB2312"/>
                <w:color w:val="auto"/>
                <w:sz w:val="21"/>
                <w:szCs w:val="21"/>
                <w:lang w:eastAsia="zh-CN"/>
              </w:rPr>
            </w:pPr>
            <w:r>
              <w:rPr>
                <w:rFonts w:hint="eastAsia" w:ascii="仿宋_GB2312" w:eastAsia="仿宋_GB2312"/>
                <w:color w:val="auto"/>
                <w:sz w:val="21"/>
                <w:szCs w:val="21"/>
                <w:lang w:val="en-US" w:eastAsia="zh-CN"/>
              </w:rPr>
              <w:t>1.</w:t>
            </w:r>
            <w:r>
              <w:rPr>
                <w:rFonts w:hint="eastAsia" w:ascii="仿宋_GB2312" w:eastAsia="仿宋_GB2312"/>
                <w:color w:val="auto"/>
                <w:sz w:val="21"/>
                <w:szCs w:val="21"/>
              </w:rPr>
              <w:t>参加抢险救灾，并经县、区人民政府或交通运输</w:t>
            </w:r>
            <w:r>
              <w:rPr>
                <w:rFonts w:hint="eastAsia" w:ascii="仿宋_GB2312" w:eastAsia="仿宋_GB2312"/>
                <w:color w:val="auto"/>
                <w:sz w:val="21"/>
                <w:szCs w:val="21"/>
                <w:lang w:eastAsia="zh-CN"/>
              </w:rPr>
              <w:t>（</w:t>
            </w:r>
            <w:r>
              <w:rPr>
                <w:rFonts w:hint="eastAsia" w:ascii="仿宋_GB2312" w:eastAsia="仿宋_GB2312"/>
                <w:color w:val="auto"/>
                <w:sz w:val="21"/>
                <w:szCs w:val="21"/>
                <w:lang w:val="en-US" w:eastAsia="zh-CN"/>
              </w:rPr>
              <w:t>港口</w:t>
            </w:r>
            <w:r>
              <w:rPr>
                <w:rFonts w:hint="eastAsia" w:ascii="仿宋_GB2312" w:eastAsia="仿宋_GB2312"/>
                <w:color w:val="auto"/>
                <w:sz w:val="21"/>
                <w:szCs w:val="21"/>
                <w:lang w:eastAsia="zh-CN"/>
              </w:rPr>
              <w:t>）</w:t>
            </w:r>
            <w:r>
              <w:rPr>
                <w:rFonts w:hint="eastAsia" w:ascii="仿宋_GB2312" w:eastAsia="仿宋_GB2312"/>
                <w:color w:val="auto"/>
                <w:sz w:val="21"/>
                <w:szCs w:val="21"/>
              </w:rPr>
              <w:t>主管部门、建设单位认可的。最高</w:t>
            </w:r>
            <w:r>
              <w:rPr>
                <w:rFonts w:hint="eastAsia" w:ascii="仿宋_GB2312" w:eastAsia="仿宋_GB2312"/>
                <w:color w:val="auto"/>
                <w:sz w:val="21"/>
                <w:szCs w:val="21"/>
                <w:lang w:val="en-US" w:eastAsia="zh-CN"/>
              </w:rPr>
              <w:t>加分总分限值</w:t>
            </w:r>
            <w:r>
              <w:rPr>
                <w:rFonts w:hint="eastAsia" w:ascii="仿宋_GB2312" w:eastAsia="仿宋_GB2312"/>
                <w:color w:val="auto"/>
                <w:sz w:val="21"/>
                <w:szCs w:val="21"/>
              </w:rPr>
              <w:t>0.6分</w:t>
            </w:r>
            <w:r>
              <w:rPr>
                <w:rFonts w:hint="eastAsia" w:ascii="仿宋_GB2312" w:eastAsia="仿宋_GB2312"/>
                <w:color w:val="auto"/>
                <w:sz w:val="21"/>
                <w:szCs w:val="21"/>
                <w:lang w:eastAsia="zh-CN"/>
              </w:rPr>
              <w:t>。</w:t>
            </w:r>
          </w:p>
          <w:p>
            <w:pPr>
              <w:adjustRightInd w:val="0"/>
              <w:snapToGrid w:val="0"/>
              <w:jc w:val="left"/>
              <w:rPr>
                <w:rFonts w:hint="eastAsia" w:ascii="仿宋_GB2312" w:eastAsia="仿宋_GB2312"/>
                <w:color w:val="auto"/>
                <w:sz w:val="21"/>
                <w:szCs w:val="21"/>
                <w:lang w:eastAsia="zh-CN"/>
              </w:rPr>
            </w:pPr>
            <w:r>
              <w:rPr>
                <w:rFonts w:hint="eastAsia" w:ascii="仿宋_GB2312" w:eastAsia="仿宋_GB2312"/>
                <w:color w:val="auto"/>
                <w:sz w:val="21"/>
                <w:szCs w:val="21"/>
                <w:lang w:val="en-US" w:eastAsia="zh-CN"/>
              </w:rPr>
              <w:t>2.</w:t>
            </w:r>
            <w:r>
              <w:rPr>
                <w:rFonts w:hint="eastAsia" w:ascii="仿宋_GB2312" w:eastAsia="仿宋_GB2312"/>
                <w:color w:val="auto"/>
                <w:sz w:val="21"/>
                <w:szCs w:val="21"/>
                <w:lang w:eastAsia="zh-CN"/>
              </w:rPr>
              <w:t>参加抢险救灾，并经地市人民政府或交通运输（</w:t>
            </w:r>
            <w:r>
              <w:rPr>
                <w:rFonts w:hint="eastAsia" w:ascii="仿宋_GB2312" w:eastAsia="仿宋_GB2312"/>
                <w:color w:val="auto"/>
                <w:sz w:val="21"/>
                <w:szCs w:val="21"/>
                <w:lang w:val="en-US" w:eastAsia="zh-CN"/>
              </w:rPr>
              <w:t>港口</w:t>
            </w:r>
            <w:r>
              <w:rPr>
                <w:rFonts w:hint="eastAsia" w:ascii="仿宋_GB2312" w:eastAsia="仿宋_GB2312"/>
                <w:color w:val="auto"/>
                <w:sz w:val="21"/>
                <w:szCs w:val="21"/>
                <w:lang w:eastAsia="zh-CN"/>
              </w:rPr>
              <w:t>）主管部门、省</w:t>
            </w:r>
            <w:r>
              <w:rPr>
                <w:rFonts w:hint="eastAsia" w:ascii="仿宋_GB2312" w:eastAsia="仿宋_GB2312"/>
                <w:color w:val="auto"/>
                <w:sz w:val="21"/>
                <w:szCs w:val="21"/>
                <w:lang w:val="en-US" w:eastAsia="zh-CN"/>
              </w:rPr>
              <w:t>航道部门</w:t>
            </w:r>
            <w:r>
              <w:rPr>
                <w:rFonts w:hint="eastAsia" w:ascii="仿宋_GB2312" w:eastAsia="仿宋_GB2312"/>
                <w:color w:val="auto"/>
                <w:sz w:val="21"/>
                <w:szCs w:val="21"/>
                <w:lang w:eastAsia="zh-CN"/>
              </w:rPr>
              <w:t>认可的。最高</w:t>
            </w:r>
            <w:r>
              <w:rPr>
                <w:rFonts w:hint="eastAsia" w:ascii="仿宋_GB2312" w:eastAsia="仿宋_GB2312"/>
                <w:color w:val="auto"/>
                <w:sz w:val="21"/>
                <w:szCs w:val="21"/>
                <w:lang w:val="en-US" w:eastAsia="zh-CN"/>
              </w:rPr>
              <w:t>加分总分限值</w:t>
            </w:r>
            <w:r>
              <w:rPr>
                <w:rFonts w:hint="eastAsia" w:ascii="仿宋_GB2312" w:eastAsia="仿宋_GB2312"/>
                <w:color w:val="auto"/>
                <w:sz w:val="21"/>
                <w:szCs w:val="21"/>
                <w:lang w:eastAsia="zh-CN"/>
              </w:rPr>
              <w:t>1.0分。</w:t>
            </w:r>
          </w:p>
          <w:p>
            <w:pPr>
              <w:adjustRightInd w:val="0"/>
              <w:snapToGrid w:val="0"/>
              <w:jc w:val="left"/>
              <w:rPr>
                <w:rFonts w:hint="eastAsia" w:ascii="仿宋_GB2312" w:eastAsia="仿宋_GB2312"/>
                <w:color w:val="auto"/>
                <w:sz w:val="21"/>
                <w:szCs w:val="21"/>
                <w:lang w:val="en-US" w:eastAsia="zh-CN"/>
              </w:rPr>
            </w:pPr>
            <w:r>
              <w:rPr>
                <w:rFonts w:hint="eastAsia" w:ascii="仿宋_GB2312" w:eastAsia="仿宋_GB2312"/>
                <w:color w:val="auto"/>
                <w:sz w:val="21"/>
                <w:szCs w:val="21"/>
                <w:lang w:val="en-US" w:eastAsia="zh-CN"/>
              </w:rPr>
              <w:t>3.</w:t>
            </w:r>
            <w:r>
              <w:rPr>
                <w:rFonts w:hint="eastAsia" w:ascii="仿宋_GB2312" w:eastAsia="仿宋_GB2312"/>
                <w:color w:val="auto"/>
                <w:sz w:val="21"/>
                <w:szCs w:val="21"/>
                <w:lang w:eastAsia="zh-CN"/>
              </w:rPr>
              <w:t>评价年度内，企业在抢险救灾、应急保障、国防战备等任务中受到省部级以上行政机关表彰或认可的加1.5分/次，</w:t>
            </w:r>
            <w:r>
              <w:rPr>
                <w:rFonts w:hint="eastAsia" w:ascii="仿宋_GB2312" w:eastAsia="仿宋_GB2312"/>
                <w:color w:val="auto"/>
                <w:sz w:val="21"/>
                <w:szCs w:val="21"/>
                <w:lang w:val="en-US" w:eastAsia="zh-CN"/>
              </w:rPr>
              <w:t>按表彰或相关文件认定，不执行此标准。</w:t>
            </w:r>
          </w:p>
          <w:p>
            <w:pPr>
              <w:adjustRightInd w:val="0"/>
              <w:snapToGrid w:val="0"/>
              <w:jc w:val="left"/>
              <w:rPr>
                <w:rFonts w:hint="default" w:ascii="仿宋_GB2312" w:eastAsia="仿宋_GB2312"/>
                <w:color w:val="auto"/>
                <w:sz w:val="21"/>
                <w:szCs w:val="21"/>
                <w:lang w:val="en-US" w:eastAsia="zh-CN"/>
              </w:rPr>
            </w:pPr>
            <w:r>
              <w:rPr>
                <w:rFonts w:hint="eastAsia" w:ascii="仿宋_GB2312" w:eastAsia="仿宋_GB2312"/>
                <w:color w:val="auto"/>
                <w:sz w:val="21"/>
                <w:szCs w:val="21"/>
                <w:lang w:val="en-US" w:eastAsia="zh-CN"/>
              </w:rPr>
              <w:t>4.应急抢险救灾以及</w:t>
            </w:r>
            <w:r>
              <w:rPr>
                <w:rFonts w:hint="eastAsia" w:ascii="仿宋_GB2312" w:hAnsi="宋体" w:eastAsia="仿宋_GB2312" w:cs="Arial"/>
                <w:color w:val="auto"/>
                <w:kern w:val="0"/>
                <w:sz w:val="21"/>
                <w:szCs w:val="21"/>
              </w:rPr>
              <w:t>为确保开通目标实现重要节点工期</w:t>
            </w:r>
            <w:r>
              <w:rPr>
                <w:rFonts w:hint="eastAsia" w:ascii="仿宋_GB2312" w:hAnsi="宋体" w:eastAsia="仿宋_GB2312" w:cs="Arial"/>
                <w:color w:val="auto"/>
                <w:kern w:val="0"/>
                <w:sz w:val="21"/>
                <w:szCs w:val="21"/>
                <w:lang w:val="en-US" w:eastAsia="zh-CN"/>
              </w:rPr>
              <w:t>等</w:t>
            </w:r>
            <w:r>
              <w:rPr>
                <w:rFonts w:hint="eastAsia" w:ascii="仿宋_GB2312" w:eastAsia="仿宋_GB2312"/>
                <w:color w:val="auto"/>
                <w:sz w:val="21"/>
                <w:szCs w:val="21"/>
                <w:lang w:val="en-US" w:eastAsia="zh-CN"/>
              </w:rPr>
              <w:t>的总加分合计不超过2分。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7" w:type="dxa"/>
            <w:vMerge w:val="continue"/>
            <w:vAlign w:val="center"/>
          </w:tcPr>
          <w:p>
            <w:pPr>
              <w:adjustRightInd w:val="0"/>
              <w:snapToGrid w:val="0"/>
              <w:jc w:val="center"/>
              <w:rPr>
                <w:rFonts w:ascii="仿宋_GB2312" w:eastAsia="仿宋_GB2312"/>
                <w:color w:val="auto"/>
                <w:sz w:val="21"/>
                <w:szCs w:val="21"/>
              </w:rPr>
            </w:pPr>
          </w:p>
        </w:tc>
        <w:tc>
          <w:tcPr>
            <w:tcW w:w="741" w:type="dxa"/>
            <w:vMerge w:val="continue"/>
            <w:vAlign w:val="center"/>
          </w:tcPr>
          <w:p>
            <w:pPr>
              <w:adjustRightInd w:val="0"/>
              <w:snapToGrid w:val="0"/>
              <w:jc w:val="center"/>
              <w:rPr>
                <w:rFonts w:ascii="仿宋_GB2312" w:eastAsia="仿宋_GB2312"/>
                <w:color w:val="auto"/>
                <w:sz w:val="21"/>
                <w:szCs w:val="21"/>
              </w:rPr>
            </w:pPr>
          </w:p>
        </w:tc>
        <w:tc>
          <w:tcPr>
            <w:tcW w:w="1880" w:type="dxa"/>
            <w:vMerge w:val="continue"/>
            <w:vAlign w:val="center"/>
          </w:tcPr>
          <w:p>
            <w:pPr>
              <w:adjustRightInd w:val="0"/>
              <w:snapToGrid w:val="0"/>
              <w:jc w:val="left"/>
              <w:rPr>
                <w:rFonts w:ascii="仿宋_GB2312" w:eastAsia="仿宋_GB2312"/>
                <w:color w:val="auto"/>
                <w:sz w:val="21"/>
                <w:szCs w:val="21"/>
              </w:rPr>
            </w:pPr>
          </w:p>
        </w:tc>
        <w:tc>
          <w:tcPr>
            <w:tcW w:w="3700" w:type="dxa"/>
            <w:gridSpan w:val="2"/>
            <w:vAlign w:val="center"/>
          </w:tcPr>
          <w:p>
            <w:pPr>
              <w:adjustRightInd w:val="0"/>
              <w:snapToGrid w:val="0"/>
              <w:jc w:val="left"/>
              <w:rPr>
                <w:rFonts w:ascii="仿宋_GB2312" w:eastAsia="仿宋_GB2312"/>
                <w:color w:val="auto"/>
                <w:sz w:val="21"/>
                <w:szCs w:val="21"/>
              </w:rPr>
            </w:pPr>
            <w:r>
              <w:rPr>
                <w:rFonts w:hint="eastAsia" w:ascii="仿宋_GB2312" w:eastAsia="仿宋_GB2312"/>
                <w:color w:val="auto"/>
                <w:sz w:val="21"/>
                <w:szCs w:val="21"/>
              </w:rPr>
              <w:t>投入抢险的人数在100人及以上，且投入抢险的大型机械设备为6台以下，或投入抢险的人数</w:t>
            </w:r>
            <w:r>
              <w:rPr>
                <w:rFonts w:hint="eastAsia" w:ascii="仿宋_GB2312"/>
                <w:color w:val="auto"/>
                <w:sz w:val="21"/>
                <w:szCs w:val="21"/>
                <w:lang w:val="en-US" w:eastAsia="zh-CN"/>
              </w:rPr>
              <w:t>在</w:t>
            </w:r>
            <w:r>
              <w:rPr>
                <w:rFonts w:hint="eastAsia" w:ascii="仿宋_GB2312" w:eastAsia="仿宋_GB2312"/>
                <w:color w:val="auto"/>
                <w:sz w:val="21"/>
                <w:szCs w:val="21"/>
              </w:rPr>
              <w:t>100人以下，且投入抢险的大型机械设备在6台以上</w:t>
            </w:r>
          </w:p>
        </w:tc>
        <w:tc>
          <w:tcPr>
            <w:tcW w:w="1190" w:type="dxa"/>
            <w:vAlign w:val="center"/>
          </w:tcPr>
          <w:p>
            <w:pPr>
              <w:adjustRightInd w:val="0"/>
              <w:snapToGrid w:val="0"/>
              <w:jc w:val="center"/>
              <w:rPr>
                <w:rFonts w:hint="eastAsia" w:ascii="仿宋_GB2312" w:eastAsia="仿宋_GB2312"/>
                <w:color w:val="auto"/>
                <w:sz w:val="21"/>
                <w:szCs w:val="21"/>
                <w:lang w:val="en-US"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4</w:t>
            </w:r>
          </w:p>
        </w:tc>
        <w:tc>
          <w:tcPr>
            <w:tcW w:w="129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5</w:t>
            </w:r>
          </w:p>
        </w:tc>
        <w:tc>
          <w:tcPr>
            <w:tcW w:w="123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6</w:t>
            </w:r>
          </w:p>
        </w:tc>
        <w:tc>
          <w:tcPr>
            <w:tcW w:w="1320" w:type="dxa"/>
            <w:vAlign w:val="center"/>
          </w:tcPr>
          <w:p>
            <w:pPr>
              <w:adjustRightInd w:val="0"/>
              <w:snapToGrid w:val="0"/>
              <w:jc w:val="center"/>
              <w:rPr>
                <w:rFonts w:hint="default" w:ascii="仿宋_GB2312" w:eastAsia="仿宋_GB2312"/>
                <w:color w:val="auto"/>
                <w:sz w:val="21"/>
                <w:szCs w:val="21"/>
                <w:lang w:val="en-US" w:eastAsia="zh-CN"/>
              </w:rPr>
            </w:pPr>
            <w:r>
              <w:rPr>
                <w:rFonts w:hint="eastAsia" w:ascii="仿宋_GB2312" w:eastAsia="仿宋_GB2312"/>
                <w:color w:val="auto"/>
                <w:sz w:val="21"/>
                <w:szCs w:val="21"/>
                <w:lang w:val="en-US" w:eastAsia="zh-CN"/>
              </w:rPr>
              <w:t>0.7</w:t>
            </w:r>
          </w:p>
        </w:tc>
        <w:tc>
          <w:tcPr>
            <w:tcW w:w="1236" w:type="dxa"/>
            <w:vMerge w:val="continue"/>
            <w:vAlign w:val="center"/>
          </w:tcPr>
          <w:p>
            <w:pPr>
              <w:adjustRightInd w:val="0"/>
              <w:snapToGrid w:val="0"/>
              <w:jc w:val="center"/>
              <w:rPr>
                <w:rFonts w:ascii="仿宋_GB2312" w:eastAsia="仿宋_GB2312"/>
                <w:color w:val="auto"/>
                <w:sz w:val="21"/>
                <w:szCs w:val="21"/>
              </w:rPr>
            </w:pPr>
          </w:p>
        </w:tc>
        <w:tc>
          <w:tcPr>
            <w:tcW w:w="2297" w:type="dxa"/>
            <w:vMerge w:val="continue"/>
            <w:vAlign w:val="center"/>
          </w:tcPr>
          <w:p>
            <w:pPr>
              <w:adjustRightInd w:val="0"/>
              <w:snapToGrid w:val="0"/>
              <w:jc w:val="center"/>
              <w:rPr>
                <w:rFonts w:ascii="仿宋_GB2312" w:eastAsia="仿宋_GB2312"/>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7" w:type="dxa"/>
            <w:vMerge w:val="continue"/>
            <w:vAlign w:val="center"/>
          </w:tcPr>
          <w:p>
            <w:pPr>
              <w:adjustRightInd w:val="0"/>
              <w:snapToGrid w:val="0"/>
              <w:jc w:val="center"/>
              <w:rPr>
                <w:rFonts w:ascii="仿宋_GB2312" w:eastAsia="仿宋_GB2312"/>
                <w:color w:val="auto"/>
                <w:sz w:val="21"/>
                <w:szCs w:val="21"/>
              </w:rPr>
            </w:pPr>
          </w:p>
        </w:tc>
        <w:tc>
          <w:tcPr>
            <w:tcW w:w="741" w:type="dxa"/>
            <w:vMerge w:val="continue"/>
            <w:vAlign w:val="center"/>
          </w:tcPr>
          <w:p>
            <w:pPr>
              <w:adjustRightInd w:val="0"/>
              <w:snapToGrid w:val="0"/>
              <w:jc w:val="center"/>
              <w:rPr>
                <w:rFonts w:ascii="仿宋_GB2312" w:eastAsia="仿宋_GB2312"/>
                <w:color w:val="auto"/>
                <w:sz w:val="21"/>
                <w:szCs w:val="21"/>
              </w:rPr>
            </w:pPr>
          </w:p>
        </w:tc>
        <w:tc>
          <w:tcPr>
            <w:tcW w:w="1880" w:type="dxa"/>
            <w:vMerge w:val="continue"/>
            <w:vAlign w:val="center"/>
          </w:tcPr>
          <w:p>
            <w:pPr>
              <w:adjustRightInd w:val="0"/>
              <w:snapToGrid w:val="0"/>
              <w:jc w:val="left"/>
              <w:rPr>
                <w:rFonts w:ascii="仿宋_GB2312" w:eastAsia="仿宋_GB2312"/>
                <w:color w:val="auto"/>
                <w:sz w:val="21"/>
                <w:szCs w:val="21"/>
              </w:rPr>
            </w:pPr>
          </w:p>
        </w:tc>
        <w:tc>
          <w:tcPr>
            <w:tcW w:w="3700" w:type="dxa"/>
            <w:gridSpan w:val="2"/>
            <w:vAlign w:val="center"/>
          </w:tcPr>
          <w:p>
            <w:pPr>
              <w:adjustRightInd w:val="0"/>
              <w:snapToGrid w:val="0"/>
              <w:jc w:val="left"/>
              <w:rPr>
                <w:rFonts w:ascii="仿宋_GB2312" w:eastAsia="仿宋_GB2312"/>
                <w:color w:val="auto"/>
                <w:sz w:val="21"/>
                <w:szCs w:val="21"/>
              </w:rPr>
            </w:pPr>
            <w:r>
              <w:rPr>
                <w:rFonts w:hint="eastAsia" w:ascii="仿宋_GB2312" w:eastAsia="仿宋_GB2312"/>
                <w:color w:val="auto"/>
                <w:sz w:val="21"/>
                <w:szCs w:val="21"/>
              </w:rPr>
              <w:t>投入抢险的人数为100人以下，且投入抢险的大型机械设备为6台以下</w:t>
            </w:r>
          </w:p>
        </w:tc>
        <w:tc>
          <w:tcPr>
            <w:tcW w:w="119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3</w:t>
            </w:r>
          </w:p>
        </w:tc>
        <w:tc>
          <w:tcPr>
            <w:tcW w:w="1290" w:type="dxa"/>
            <w:vAlign w:val="center"/>
          </w:tcPr>
          <w:p>
            <w:pPr>
              <w:adjustRightInd w:val="0"/>
              <w:snapToGrid w:val="0"/>
              <w:jc w:val="center"/>
              <w:rPr>
                <w:rFonts w:hint="default" w:ascii="仿宋_GB2312" w:eastAsia="仿宋_GB2312"/>
                <w:color w:val="auto"/>
                <w:sz w:val="21"/>
                <w:szCs w:val="21"/>
                <w:lang w:val="en-US" w:eastAsia="zh-CN"/>
              </w:rPr>
            </w:pPr>
            <w:r>
              <w:rPr>
                <w:rFonts w:hint="eastAsia" w:ascii="仿宋_GB2312" w:eastAsia="仿宋_GB2312"/>
                <w:color w:val="auto"/>
                <w:sz w:val="21"/>
                <w:szCs w:val="21"/>
                <w:lang w:val="en-US" w:eastAsia="zh-CN"/>
              </w:rPr>
              <w:t>0.4</w:t>
            </w:r>
          </w:p>
        </w:tc>
        <w:tc>
          <w:tcPr>
            <w:tcW w:w="123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5</w:t>
            </w:r>
          </w:p>
        </w:tc>
        <w:tc>
          <w:tcPr>
            <w:tcW w:w="1320" w:type="dxa"/>
            <w:vAlign w:val="center"/>
          </w:tcPr>
          <w:p>
            <w:pPr>
              <w:jc w:val="center"/>
              <w:rPr>
                <w:rFonts w:hint="eastAsia"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6</w:t>
            </w:r>
          </w:p>
        </w:tc>
        <w:tc>
          <w:tcPr>
            <w:tcW w:w="1236" w:type="dxa"/>
            <w:vMerge w:val="continue"/>
            <w:vAlign w:val="center"/>
          </w:tcPr>
          <w:p>
            <w:pPr>
              <w:adjustRightInd w:val="0"/>
              <w:snapToGrid w:val="0"/>
              <w:jc w:val="center"/>
              <w:rPr>
                <w:rFonts w:ascii="仿宋_GB2312" w:eastAsia="仿宋_GB2312"/>
                <w:color w:val="auto"/>
                <w:sz w:val="21"/>
                <w:szCs w:val="21"/>
              </w:rPr>
            </w:pPr>
          </w:p>
        </w:tc>
        <w:tc>
          <w:tcPr>
            <w:tcW w:w="2297" w:type="dxa"/>
            <w:vMerge w:val="continue"/>
            <w:vAlign w:val="center"/>
          </w:tcPr>
          <w:p>
            <w:pPr>
              <w:adjustRightInd w:val="0"/>
              <w:snapToGrid w:val="0"/>
              <w:jc w:val="center"/>
              <w:rPr>
                <w:rFonts w:ascii="仿宋_GB2312" w:eastAsia="仿宋_GB2312"/>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7" w:type="dxa"/>
            <w:vMerge w:val="continue"/>
            <w:vAlign w:val="center"/>
          </w:tcPr>
          <w:p>
            <w:pPr>
              <w:adjustRightInd w:val="0"/>
              <w:snapToGrid w:val="0"/>
              <w:jc w:val="center"/>
              <w:rPr>
                <w:rFonts w:ascii="仿宋_GB2312" w:eastAsia="仿宋_GB2312"/>
                <w:color w:val="auto"/>
                <w:sz w:val="21"/>
                <w:szCs w:val="21"/>
              </w:rPr>
            </w:pPr>
          </w:p>
        </w:tc>
        <w:tc>
          <w:tcPr>
            <w:tcW w:w="741" w:type="dxa"/>
            <w:vMerge w:val="continue"/>
            <w:vAlign w:val="center"/>
          </w:tcPr>
          <w:p>
            <w:pPr>
              <w:adjustRightInd w:val="0"/>
              <w:snapToGrid w:val="0"/>
              <w:jc w:val="center"/>
              <w:rPr>
                <w:rFonts w:ascii="仿宋_GB2312" w:eastAsia="仿宋_GB2312"/>
                <w:color w:val="auto"/>
                <w:sz w:val="21"/>
                <w:szCs w:val="21"/>
              </w:rPr>
            </w:pPr>
          </w:p>
        </w:tc>
        <w:tc>
          <w:tcPr>
            <w:tcW w:w="1880" w:type="dxa"/>
            <w:vMerge w:val="continue"/>
            <w:vAlign w:val="center"/>
          </w:tcPr>
          <w:p>
            <w:pPr>
              <w:adjustRightInd w:val="0"/>
              <w:snapToGrid w:val="0"/>
              <w:jc w:val="left"/>
              <w:rPr>
                <w:rFonts w:ascii="仿宋_GB2312" w:eastAsia="仿宋_GB2312"/>
                <w:color w:val="auto"/>
                <w:sz w:val="21"/>
                <w:szCs w:val="21"/>
              </w:rPr>
            </w:pPr>
          </w:p>
        </w:tc>
        <w:tc>
          <w:tcPr>
            <w:tcW w:w="3700" w:type="dxa"/>
            <w:gridSpan w:val="2"/>
            <w:vAlign w:val="center"/>
          </w:tcPr>
          <w:p>
            <w:pPr>
              <w:adjustRightInd w:val="0"/>
              <w:snapToGrid w:val="0"/>
              <w:jc w:val="left"/>
              <w:rPr>
                <w:rFonts w:ascii="仿宋_GB2312" w:eastAsia="仿宋_GB2312"/>
                <w:color w:val="auto"/>
                <w:sz w:val="21"/>
                <w:szCs w:val="21"/>
              </w:rPr>
            </w:pPr>
            <w:r>
              <w:rPr>
                <w:rFonts w:hint="eastAsia" w:ascii="仿宋_GB2312" w:eastAsia="仿宋_GB2312"/>
                <w:color w:val="auto"/>
                <w:sz w:val="21"/>
                <w:szCs w:val="21"/>
              </w:rPr>
              <w:t>投入抢险的人数为50人及以上</w:t>
            </w:r>
          </w:p>
        </w:tc>
        <w:tc>
          <w:tcPr>
            <w:tcW w:w="119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2</w:t>
            </w:r>
          </w:p>
        </w:tc>
        <w:tc>
          <w:tcPr>
            <w:tcW w:w="1290" w:type="dxa"/>
            <w:vAlign w:val="center"/>
          </w:tcPr>
          <w:p>
            <w:pPr>
              <w:adjustRightInd w:val="0"/>
              <w:snapToGrid w:val="0"/>
              <w:jc w:val="center"/>
              <w:rPr>
                <w:rFonts w:hint="eastAsia" w:ascii="仿宋_GB2312" w:eastAsia="仿宋_GB2312"/>
                <w:color w:val="auto"/>
                <w:sz w:val="21"/>
                <w:szCs w:val="21"/>
                <w:lang w:val="en-US"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3</w:t>
            </w:r>
          </w:p>
        </w:tc>
        <w:tc>
          <w:tcPr>
            <w:tcW w:w="1230" w:type="dxa"/>
            <w:vAlign w:val="center"/>
          </w:tcPr>
          <w:p>
            <w:pPr>
              <w:adjustRightInd w:val="0"/>
              <w:snapToGrid w:val="0"/>
              <w:jc w:val="center"/>
              <w:rPr>
                <w:rFonts w:hint="eastAsia" w:ascii="仿宋_GB2312" w:eastAsia="仿宋_GB2312"/>
                <w:color w:val="auto"/>
                <w:sz w:val="21"/>
                <w:szCs w:val="21"/>
                <w:lang w:val="en-US"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4</w:t>
            </w:r>
          </w:p>
        </w:tc>
        <w:tc>
          <w:tcPr>
            <w:tcW w:w="1320" w:type="dxa"/>
            <w:vAlign w:val="center"/>
          </w:tcPr>
          <w:p>
            <w:pPr>
              <w:jc w:val="center"/>
              <w:rPr>
                <w:rFonts w:hint="eastAsia" w:eastAsia="仿宋_GB2312"/>
                <w:color w:val="auto"/>
                <w:sz w:val="21"/>
                <w:szCs w:val="21"/>
                <w:lang w:eastAsia="zh-CN"/>
              </w:rPr>
            </w:pPr>
            <w:r>
              <w:rPr>
                <w:rFonts w:hint="eastAsia" w:ascii="仿宋_GB2312" w:eastAsia="仿宋_GB2312"/>
                <w:color w:val="auto"/>
                <w:sz w:val="21"/>
                <w:szCs w:val="21"/>
              </w:rPr>
              <w:t>0.</w:t>
            </w:r>
            <w:r>
              <w:rPr>
                <w:rFonts w:hint="eastAsia" w:ascii="仿宋_GB2312" w:eastAsia="仿宋_GB2312"/>
                <w:color w:val="auto"/>
                <w:sz w:val="21"/>
                <w:szCs w:val="21"/>
                <w:lang w:val="en-US" w:eastAsia="zh-CN"/>
              </w:rPr>
              <w:t>5</w:t>
            </w:r>
          </w:p>
        </w:tc>
        <w:tc>
          <w:tcPr>
            <w:tcW w:w="1236" w:type="dxa"/>
            <w:vMerge w:val="continue"/>
            <w:vAlign w:val="center"/>
          </w:tcPr>
          <w:p>
            <w:pPr>
              <w:adjustRightInd w:val="0"/>
              <w:snapToGrid w:val="0"/>
              <w:jc w:val="center"/>
              <w:rPr>
                <w:rFonts w:ascii="仿宋_GB2312" w:eastAsia="仿宋_GB2312"/>
                <w:color w:val="auto"/>
                <w:sz w:val="21"/>
                <w:szCs w:val="21"/>
              </w:rPr>
            </w:pPr>
          </w:p>
        </w:tc>
        <w:tc>
          <w:tcPr>
            <w:tcW w:w="2297" w:type="dxa"/>
            <w:vMerge w:val="continue"/>
            <w:vAlign w:val="center"/>
          </w:tcPr>
          <w:p>
            <w:pPr>
              <w:adjustRightInd w:val="0"/>
              <w:snapToGrid w:val="0"/>
              <w:jc w:val="center"/>
              <w:rPr>
                <w:rFonts w:ascii="仿宋_GB2312" w:eastAsia="仿宋_GB2312"/>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567" w:type="dxa"/>
            <w:vMerge w:val="continue"/>
            <w:vAlign w:val="center"/>
          </w:tcPr>
          <w:p>
            <w:pPr>
              <w:adjustRightInd w:val="0"/>
              <w:snapToGrid w:val="0"/>
              <w:jc w:val="center"/>
              <w:rPr>
                <w:rFonts w:ascii="仿宋_GB2312" w:eastAsia="仿宋_GB2312"/>
                <w:color w:val="auto"/>
                <w:sz w:val="21"/>
                <w:szCs w:val="21"/>
              </w:rPr>
            </w:pPr>
          </w:p>
        </w:tc>
        <w:tc>
          <w:tcPr>
            <w:tcW w:w="741" w:type="dxa"/>
            <w:vMerge w:val="continue"/>
            <w:vAlign w:val="center"/>
          </w:tcPr>
          <w:p>
            <w:pPr>
              <w:adjustRightInd w:val="0"/>
              <w:snapToGrid w:val="0"/>
              <w:jc w:val="center"/>
              <w:rPr>
                <w:rFonts w:ascii="仿宋_GB2312" w:eastAsia="仿宋_GB2312"/>
                <w:color w:val="auto"/>
                <w:sz w:val="21"/>
                <w:szCs w:val="21"/>
              </w:rPr>
            </w:pPr>
          </w:p>
        </w:tc>
        <w:tc>
          <w:tcPr>
            <w:tcW w:w="1880" w:type="dxa"/>
            <w:vMerge w:val="continue"/>
            <w:vAlign w:val="center"/>
          </w:tcPr>
          <w:p>
            <w:pPr>
              <w:adjustRightInd w:val="0"/>
              <w:snapToGrid w:val="0"/>
              <w:jc w:val="left"/>
              <w:rPr>
                <w:rFonts w:ascii="仿宋_GB2312" w:eastAsia="仿宋_GB2312"/>
                <w:color w:val="auto"/>
                <w:sz w:val="21"/>
                <w:szCs w:val="21"/>
              </w:rPr>
            </w:pPr>
          </w:p>
        </w:tc>
        <w:tc>
          <w:tcPr>
            <w:tcW w:w="3700" w:type="dxa"/>
            <w:gridSpan w:val="2"/>
            <w:vAlign w:val="center"/>
          </w:tcPr>
          <w:p>
            <w:pPr>
              <w:adjustRightInd w:val="0"/>
              <w:snapToGrid w:val="0"/>
              <w:jc w:val="left"/>
              <w:rPr>
                <w:rFonts w:ascii="仿宋_GB2312" w:eastAsia="仿宋_GB2312"/>
                <w:color w:val="auto"/>
                <w:sz w:val="21"/>
                <w:szCs w:val="21"/>
              </w:rPr>
            </w:pPr>
            <w:r>
              <w:rPr>
                <w:rFonts w:hint="eastAsia" w:ascii="仿宋_GB2312" w:eastAsia="仿宋_GB2312"/>
                <w:color w:val="auto"/>
                <w:sz w:val="21"/>
                <w:szCs w:val="21"/>
              </w:rPr>
              <w:t>投入抢险的人数在50人以下</w:t>
            </w:r>
          </w:p>
        </w:tc>
        <w:tc>
          <w:tcPr>
            <w:tcW w:w="1190" w:type="dxa"/>
            <w:vAlign w:val="center"/>
          </w:tcPr>
          <w:p>
            <w:pPr>
              <w:adjustRightInd w:val="0"/>
              <w:snapToGrid w:val="0"/>
              <w:jc w:val="center"/>
              <w:rPr>
                <w:rFonts w:hint="eastAsia" w:ascii="仿宋_GB2312" w:eastAsia="仿宋_GB2312"/>
                <w:color w:val="auto"/>
                <w:sz w:val="21"/>
                <w:szCs w:val="21"/>
                <w:lang w:eastAsia="zh-CN"/>
              </w:rPr>
            </w:pPr>
            <w:r>
              <w:rPr>
                <w:rFonts w:hint="eastAsia" w:ascii="仿宋_GB2312" w:eastAsia="仿宋_GB2312"/>
                <w:color w:val="auto"/>
                <w:sz w:val="21"/>
                <w:szCs w:val="21"/>
              </w:rPr>
              <w:t>0.1</w:t>
            </w:r>
          </w:p>
        </w:tc>
        <w:tc>
          <w:tcPr>
            <w:tcW w:w="1290" w:type="dxa"/>
            <w:vAlign w:val="center"/>
          </w:tcPr>
          <w:p>
            <w:pPr>
              <w:adjustRightInd w:val="0"/>
              <w:snapToGrid w:val="0"/>
              <w:jc w:val="center"/>
              <w:rPr>
                <w:rFonts w:ascii="仿宋_GB2312" w:eastAsia="仿宋_GB2312"/>
                <w:color w:val="auto"/>
                <w:sz w:val="21"/>
                <w:szCs w:val="21"/>
              </w:rPr>
            </w:pPr>
            <w:r>
              <w:rPr>
                <w:rFonts w:hint="eastAsia" w:ascii="仿宋_GB2312" w:eastAsia="仿宋_GB2312"/>
                <w:color w:val="auto"/>
                <w:sz w:val="21"/>
                <w:szCs w:val="21"/>
              </w:rPr>
              <w:t>0.2</w:t>
            </w:r>
          </w:p>
        </w:tc>
        <w:tc>
          <w:tcPr>
            <w:tcW w:w="1230" w:type="dxa"/>
            <w:vAlign w:val="center"/>
          </w:tcPr>
          <w:p>
            <w:pPr>
              <w:adjustRightInd w:val="0"/>
              <w:snapToGrid w:val="0"/>
              <w:jc w:val="center"/>
              <w:rPr>
                <w:rFonts w:ascii="仿宋_GB2312" w:eastAsia="仿宋_GB2312"/>
                <w:color w:val="auto"/>
                <w:sz w:val="21"/>
                <w:szCs w:val="21"/>
              </w:rPr>
            </w:pPr>
            <w:r>
              <w:rPr>
                <w:rFonts w:hint="eastAsia" w:ascii="仿宋_GB2312" w:eastAsia="仿宋_GB2312"/>
                <w:color w:val="auto"/>
                <w:sz w:val="21"/>
                <w:szCs w:val="21"/>
              </w:rPr>
              <w:t>0.3</w:t>
            </w:r>
          </w:p>
        </w:tc>
        <w:tc>
          <w:tcPr>
            <w:tcW w:w="1320" w:type="dxa"/>
            <w:vAlign w:val="center"/>
          </w:tcPr>
          <w:p>
            <w:pPr>
              <w:jc w:val="center"/>
              <w:rPr>
                <w:color w:val="auto"/>
                <w:sz w:val="21"/>
                <w:szCs w:val="21"/>
              </w:rPr>
            </w:pPr>
            <w:r>
              <w:rPr>
                <w:rFonts w:hint="eastAsia" w:ascii="仿宋_GB2312" w:eastAsia="仿宋_GB2312"/>
                <w:color w:val="auto"/>
                <w:sz w:val="21"/>
                <w:szCs w:val="21"/>
              </w:rPr>
              <w:t>0.4</w:t>
            </w:r>
          </w:p>
        </w:tc>
        <w:tc>
          <w:tcPr>
            <w:tcW w:w="1236" w:type="dxa"/>
            <w:vMerge w:val="continue"/>
            <w:vAlign w:val="center"/>
          </w:tcPr>
          <w:p>
            <w:pPr>
              <w:adjustRightInd w:val="0"/>
              <w:snapToGrid w:val="0"/>
              <w:jc w:val="center"/>
              <w:rPr>
                <w:rFonts w:ascii="仿宋_GB2312" w:eastAsia="仿宋_GB2312"/>
                <w:color w:val="auto"/>
                <w:sz w:val="21"/>
                <w:szCs w:val="21"/>
              </w:rPr>
            </w:pPr>
          </w:p>
        </w:tc>
        <w:tc>
          <w:tcPr>
            <w:tcW w:w="2297" w:type="dxa"/>
            <w:vMerge w:val="continue"/>
            <w:vAlign w:val="center"/>
          </w:tcPr>
          <w:p>
            <w:pPr>
              <w:adjustRightInd w:val="0"/>
              <w:snapToGrid w:val="0"/>
              <w:jc w:val="center"/>
              <w:rPr>
                <w:rFonts w:ascii="仿宋_GB2312" w:eastAsia="仿宋_GB2312"/>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42" w:hRule="atLeast"/>
        </w:trPr>
        <w:tc>
          <w:tcPr>
            <w:tcW w:w="567" w:type="dxa"/>
            <w:vAlign w:val="center"/>
          </w:tcPr>
          <w:p>
            <w:pPr>
              <w:adjustRightInd w:val="0"/>
              <w:snapToGrid w:val="0"/>
              <w:jc w:val="center"/>
              <w:rPr>
                <w:rFonts w:ascii="仿宋_GB2312" w:eastAsia="仿宋_GB2312"/>
                <w:color w:val="auto"/>
                <w:sz w:val="21"/>
                <w:szCs w:val="21"/>
              </w:rPr>
            </w:pPr>
            <w:r>
              <w:rPr>
                <w:rFonts w:hint="eastAsia" w:ascii="仿宋_GB2312" w:eastAsia="仿宋_GB2312"/>
                <w:color w:val="auto"/>
                <w:sz w:val="21"/>
                <w:szCs w:val="21"/>
              </w:rPr>
              <w:t>2</w:t>
            </w:r>
          </w:p>
        </w:tc>
        <w:tc>
          <w:tcPr>
            <w:tcW w:w="741" w:type="dxa"/>
            <w:vAlign w:val="center"/>
          </w:tcPr>
          <w:p>
            <w:pPr>
              <w:adjustRightInd w:val="0"/>
              <w:snapToGrid w:val="0"/>
              <w:jc w:val="center"/>
              <w:rPr>
                <w:rFonts w:ascii="仿宋_GB2312" w:eastAsia="仿宋_GB2312"/>
                <w:color w:val="auto"/>
                <w:sz w:val="21"/>
                <w:szCs w:val="21"/>
              </w:rPr>
            </w:pPr>
            <w:r>
              <w:rPr>
                <w:rFonts w:hint="eastAsia" w:ascii="仿宋_GB2312" w:hAnsi="宋体" w:eastAsia="仿宋_GB2312" w:cs="Arial"/>
                <w:color w:val="auto"/>
                <w:kern w:val="0"/>
                <w:sz w:val="21"/>
                <w:szCs w:val="21"/>
              </w:rPr>
              <w:t>为确保开通目标实现重要节点工期</w:t>
            </w:r>
          </w:p>
        </w:tc>
        <w:tc>
          <w:tcPr>
            <w:tcW w:w="3626" w:type="dxa"/>
            <w:gridSpan w:val="2"/>
            <w:vAlign w:val="center"/>
          </w:tcPr>
          <w:p>
            <w:pPr>
              <w:widowControl/>
              <w:jc w:val="left"/>
              <w:rPr>
                <w:rFonts w:ascii="仿宋_GB2312" w:hAnsi="宋体" w:eastAsia="仿宋_GB2312" w:cs="Arial"/>
                <w:color w:val="auto"/>
                <w:kern w:val="0"/>
                <w:sz w:val="21"/>
                <w:szCs w:val="21"/>
              </w:rPr>
            </w:pPr>
            <w:r>
              <w:rPr>
                <w:rFonts w:hint="eastAsia" w:ascii="仿宋_GB2312" w:hAnsi="宋体" w:eastAsia="仿宋_GB2312" w:cs="Arial"/>
                <w:color w:val="auto"/>
                <w:kern w:val="0"/>
                <w:sz w:val="21"/>
                <w:szCs w:val="21"/>
              </w:rPr>
              <w:t>1.</w:t>
            </w:r>
            <w:r>
              <w:rPr>
                <w:rFonts w:hint="eastAsia" w:ascii="仿宋_GB2312" w:hAnsi="宋体" w:eastAsia="仿宋_GB2312" w:cs="Arial"/>
                <w:color w:val="auto"/>
                <w:kern w:val="0"/>
                <w:sz w:val="21"/>
                <w:szCs w:val="21"/>
                <w:lang w:val="en-US" w:eastAsia="zh-CN"/>
              </w:rPr>
              <w:t>应项目建设单位</w:t>
            </w:r>
            <w:r>
              <w:rPr>
                <w:rFonts w:hint="eastAsia" w:ascii="仿宋_GB2312" w:hAnsi="宋体" w:eastAsia="仿宋_GB2312" w:cs="Arial"/>
                <w:color w:val="auto"/>
                <w:kern w:val="0"/>
                <w:sz w:val="21"/>
                <w:szCs w:val="21"/>
              </w:rPr>
              <w:t>要求承担影响开通的新增工程、应急工程，按期完成，为开通作出特别贡献的企业；</w:t>
            </w:r>
          </w:p>
          <w:p>
            <w:pPr>
              <w:adjustRightInd w:val="0"/>
              <w:snapToGrid w:val="0"/>
              <w:jc w:val="left"/>
              <w:rPr>
                <w:rFonts w:ascii="仿宋_GB2312" w:eastAsia="仿宋_GB2312"/>
                <w:color w:val="auto"/>
                <w:sz w:val="21"/>
                <w:szCs w:val="21"/>
              </w:rPr>
            </w:pPr>
            <w:r>
              <w:rPr>
                <w:rFonts w:hint="eastAsia" w:ascii="仿宋_GB2312" w:hAnsi="宋体" w:eastAsia="仿宋_GB2312" w:cs="Arial"/>
                <w:color w:val="auto"/>
                <w:kern w:val="0"/>
                <w:sz w:val="21"/>
                <w:szCs w:val="21"/>
              </w:rPr>
              <w:t>2.</w:t>
            </w:r>
            <w:r>
              <w:rPr>
                <w:rFonts w:hint="eastAsia" w:ascii="仿宋_GB2312" w:hAnsi="宋体" w:eastAsia="仿宋_GB2312" w:cs="Arial"/>
                <w:color w:val="auto"/>
                <w:kern w:val="0"/>
                <w:sz w:val="21"/>
                <w:szCs w:val="21"/>
                <w:lang w:val="en-US" w:eastAsia="zh-CN"/>
              </w:rPr>
              <w:t>应项目建设单位</w:t>
            </w:r>
            <w:r>
              <w:rPr>
                <w:rFonts w:hint="eastAsia" w:ascii="仿宋_GB2312" w:hAnsi="宋体" w:eastAsia="仿宋_GB2312" w:cs="Arial"/>
                <w:color w:val="auto"/>
                <w:kern w:val="0"/>
                <w:sz w:val="21"/>
                <w:szCs w:val="21"/>
              </w:rPr>
              <w:t>要求，加大投入，创造条件实现关键节点工期目标，为开通作出特别贡献的企业。</w:t>
            </w:r>
          </w:p>
        </w:tc>
        <w:tc>
          <w:tcPr>
            <w:tcW w:w="6984" w:type="dxa"/>
            <w:gridSpan w:val="5"/>
            <w:vAlign w:val="center"/>
          </w:tcPr>
          <w:p>
            <w:pPr>
              <w:adjustRightInd w:val="0"/>
              <w:snapToGrid w:val="0"/>
              <w:jc w:val="center"/>
              <w:rPr>
                <w:rFonts w:ascii="仿宋_GB2312" w:eastAsia="仿宋_GB2312"/>
                <w:color w:val="auto"/>
                <w:sz w:val="21"/>
                <w:szCs w:val="21"/>
              </w:rPr>
            </w:pPr>
            <w:r>
              <w:rPr>
                <w:rFonts w:hint="eastAsia" w:ascii="仿宋_GB2312" w:hAnsi="宋体" w:eastAsia="仿宋_GB2312" w:cs="Arial"/>
                <w:color w:val="auto"/>
                <w:kern w:val="0"/>
                <w:sz w:val="21"/>
                <w:szCs w:val="21"/>
              </w:rPr>
              <w:t>按难度大小加0.</w:t>
            </w:r>
            <w:r>
              <w:rPr>
                <w:rFonts w:hint="eastAsia" w:ascii="仿宋_GB2312" w:hAnsi="宋体" w:eastAsia="仿宋_GB2312" w:cs="Arial"/>
                <w:color w:val="auto"/>
                <w:kern w:val="0"/>
                <w:sz w:val="21"/>
                <w:szCs w:val="21"/>
                <w:lang w:val="en-US" w:eastAsia="zh-CN"/>
              </w:rPr>
              <w:t>1-0.2</w:t>
            </w:r>
            <w:r>
              <w:rPr>
                <w:rFonts w:hint="eastAsia" w:ascii="仿宋_GB2312" w:hAnsi="宋体" w:eastAsia="仿宋_GB2312" w:cs="Arial"/>
                <w:color w:val="auto"/>
                <w:kern w:val="0"/>
                <w:sz w:val="21"/>
                <w:szCs w:val="21"/>
              </w:rPr>
              <w:t>分。</w:t>
            </w:r>
          </w:p>
        </w:tc>
        <w:tc>
          <w:tcPr>
            <w:tcW w:w="1236" w:type="dxa"/>
            <w:vAlign w:val="center"/>
          </w:tcPr>
          <w:p>
            <w:pPr>
              <w:adjustRightInd w:val="0"/>
              <w:snapToGrid w:val="0"/>
              <w:jc w:val="center"/>
              <w:rPr>
                <w:rFonts w:ascii="仿宋_GB2312" w:eastAsia="仿宋_GB2312"/>
                <w:color w:val="auto"/>
                <w:sz w:val="21"/>
                <w:szCs w:val="21"/>
              </w:rPr>
            </w:pPr>
            <w:r>
              <w:rPr>
                <w:rFonts w:hint="eastAsia" w:ascii="仿宋_GB2312" w:hAnsi="宋体" w:eastAsia="仿宋_GB2312" w:cs="Arial"/>
                <w:color w:val="auto"/>
                <w:kern w:val="0"/>
                <w:sz w:val="21"/>
                <w:szCs w:val="21"/>
              </w:rPr>
              <w:t>以</w:t>
            </w:r>
            <w:r>
              <w:rPr>
                <w:rFonts w:hint="eastAsia" w:ascii="仿宋_GB2312" w:hAnsi="宋体" w:eastAsia="仿宋_GB2312" w:cs="Arial"/>
                <w:color w:val="auto"/>
                <w:kern w:val="0"/>
                <w:sz w:val="21"/>
                <w:szCs w:val="21"/>
                <w:lang w:val="en-US" w:eastAsia="zh-CN"/>
              </w:rPr>
              <w:t>项目建设单位</w:t>
            </w:r>
            <w:r>
              <w:rPr>
                <w:rFonts w:hint="eastAsia" w:ascii="仿宋_GB2312" w:hAnsi="宋体" w:eastAsia="仿宋_GB2312" w:cs="Arial"/>
                <w:color w:val="auto"/>
                <w:kern w:val="0"/>
                <w:sz w:val="21"/>
                <w:szCs w:val="21"/>
              </w:rPr>
              <w:t>出具的证明材料为准。</w:t>
            </w:r>
          </w:p>
        </w:tc>
        <w:tc>
          <w:tcPr>
            <w:tcW w:w="2297" w:type="dxa"/>
            <w:vMerge w:val="continue"/>
            <w:vAlign w:val="center"/>
          </w:tcPr>
          <w:p>
            <w:pPr>
              <w:rPr>
                <w:color w:val="auto"/>
                <w:sz w:val="21"/>
                <w:szCs w:val="21"/>
              </w:rPr>
            </w:pPr>
          </w:p>
        </w:tc>
      </w:tr>
    </w:tbl>
    <w:p>
      <w:pPr>
        <w:rPr>
          <w:color w:val="auto"/>
        </w:rPr>
      </w:pPr>
    </w:p>
    <w:p>
      <w:pPr>
        <w:rPr>
          <w:color w:val="auto"/>
        </w:rPr>
        <w:sectPr>
          <w:pgSz w:w="16838" w:h="11906" w:orient="landscape"/>
          <w:pgMar w:top="1689" w:right="1440" w:bottom="1519" w:left="1440" w:header="851" w:footer="992" w:gutter="0"/>
          <w:cols w:space="0" w:num="1"/>
          <w:rtlGutter w:val="0"/>
          <w:docGrid w:type="lines" w:linePitch="312" w:charSpace="0"/>
        </w:sectPr>
      </w:pPr>
    </w:p>
    <w:p>
      <w:pPr>
        <w:widowControl/>
        <w:adjustRightInd w:val="0"/>
        <w:snapToGrid w:val="0"/>
        <w:spacing w:before="100" w:beforeAutospacing="1" w:after="100" w:afterAutospacing="1"/>
        <w:jc w:val="center"/>
        <w:rPr>
          <w:rFonts w:hint="eastAsia" w:ascii="华文中宋" w:hAnsi="华文中宋" w:eastAsia="华文中宋"/>
          <w:color w:val="auto"/>
          <w:sz w:val="32"/>
          <w:szCs w:val="32"/>
          <w:lang w:eastAsia="zh-CN"/>
        </w:rPr>
      </w:pPr>
      <w:r>
        <w:rPr>
          <w:rFonts w:hint="eastAsia" w:ascii="华文中宋" w:hAnsi="华文中宋" w:eastAsia="华文中宋"/>
          <w:color w:val="auto"/>
          <w:sz w:val="32"/>
          <w:szCs w:val="32"/>
        </w:rPr>
        <w:t>企业信用评价加分申请表</w:t>
      </w:r>
      <w:r>
        <w:rPr>
          <w:rFonts w:hint="eastAsia" w:ascii="华文中宋" w:hAnsi="华文中宋" w:eastAsia="华文中宋"/>
          <w:color w:val="auto"/>
          <w:sz w:val="32"/>
          <w:szCs w:val="32"/>
          <w:lang w:eastAsia="zh-CN"/>
        </w:rPr>
        <w:t>（</w:t>
      </w:r>
      <w:r>
        <w:rPr>
          <w:rFonts w:hint="eastAsia" w:ascii="华文中宋" w:hAnsi="华文中宋" w:eastAsia="华文中宋"/>
          <w:color w:val="auto"/>
          <w:sz w:val="32"/>
          <w:szCs w:val="32"/>
          <w:lang w:val="en-US" w:eastAsia="zh-CN"/>
        </w:rPr>
        <w:t>公示</w:t>
      </w:r>
      <w:r>
        <w:rPr>
          <w:rFonts w:hint="eastAsia" w:ascii="华文中宋" w:hAnsi="华文中宋" w:eastAsia="华文中宋"/>
          <w:color w:val="auto"/>
          <w:sz w:val="32"/>
          <w:szCs w:val="32"/>
          <w:lang w:eastAsia="zh-CN"/>
        </w:rPr>
        <w:t>）</w:t>
      </w:r>
    </w:p>
    <w:p>
      <w:pPr>
        <w:widowControl/>
        <w:adjustRightInd w:val="0"/>
        <w:snapToGrid w:val="0"/>
        <w:jc w:val="left"/>
        <w:rPr>
          <w:rFonts w:ascii="仿宋_GB2312" w:hAnsi="宋体" w:eastAsia="仿宋_GB2312" w:cs="宋体"/>
          <w:snapToGrid w:val="0"/>
          <w:color w:val="auto"/>
          <w:kern w:val="0"/>
          <w:szCs w:val="21"/>
        </w:rPr>
      </w:pPr>
      <w:r>
        <w:rPr>
          <w:rFonts w:hint="eastAsia" w:ascii="黑体" w:hAnsi="宋体" w:eastAsia="黑体" w:cs="宋体"/>
          <w:snapToGrid w:val="0"/>
          <w:color w:val="auto"/>
          <w:kern w:val="0"/>
          <w:sz w:val="24"/>
          <w:szCs w:val="21"/>
        </w:rPr>
        <w:t xml:space="preserve">                                                         </w:t>
      </w:r>
      <w:r>
        <w:rPr>
          <w:rFonts w:hint="eastAsia" w:ascii="仿宋_GB2312" w:hAnsi="宋体" w:eastAsia="仿宋_GB2312" w:cs="宋体"/>
          <w:snapToGrid w:val="0"/>
          <w:color w:val="auto"/>
          <w:kern w:val="0"/>
          <w:szCs w:val="21"/>
        </w:rPr>
        <w:t xml:space="preserve"> 编号：</w:t>
      </w:r>
    </w:p>
    <w:tbl>
      <w:tblPr>
        <w:tblStyle w:val="6"/>
        <w:tblW w:w="8895" w:type="dxa"/>
        <w:jc w:val="center"/>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28"/>
        <w:gridCol w:w="3106"/>
        <w:gridCol w:w="1197"/>
        <w:gridCol w:w="24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92" w:hRule="atLeast"/>
          <w:jc w:val="center"/>
        </w:trPr>
        <w:tc>
          <w:tcPr>
            <w:tcW w:w="2128"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color w:val="auto"/>
                <w:kern w:val="0"/>
                <w:sz w:val="24"/>
                <w:szCs w:val="24"/>
              </w:rPr>
            </w:pPr>
            <w:r>
              <w:rPr>
                <w:rFonts w:hint="eastAsia" w:hAnsi="宋体" w:eastAsia="仿宋_GB2312" w:cs="宋体"/>
                <w:color w:val="auto"/>
                <w:kern w:val="0"/>
                <w:sz w:val="24"/>
                <w:szCs w:val="24"/>
              </w:rPr>
              <w:t>企业名称</w:t>
            </w:r>
          </w:p>
        </w:tc>
        <w:tc>
          <w:tcPr>
            <w:tcW w:w="3106" w:type="dxa"/>
            <w:tcBorders>
              <w:top w:val="single" w:color="000000" w:sz="4" w:space="0"/>
              <w:left w:val="single" w:color="000000" w:sz="4" w:space="0"/>
              <w:bottom w:val="single" w:color="000000" w:sz="4" w:space="0"/>
              <w:right w:val="single" w:color="auto" w:sz="4" w:space="0"/>
            </w:tcBorders>
            <w:vAlign w:val="center"/>
          </w:tcPr>
          <w:p>
            <w:pPr>
              <w:widowControl/>
              <w:spacing w:before="100" w:beforeAutospacing="1" w:after="100" w:afterAutospacing="1"/>
              <w:ind w:firstLine="451"/>
              <w:jc w:val="center"/>
              <w:rPr>
                <w:rFonts w:ascii="宋体" w:hAnsi="宋体" w:cs="宋体"/>
                <w:color w:val="auto"/>
                <w:kern w:val="0"/>
                <w:sz w:val="24"/>
                <w:szCs w:val="24"/>
              </w:rPr>
            </w:pPr>
          </w:p>
        </w:tc>
        <w:tc>
          <w:tcPr>
            <w:tcW w:w="1197" w:type="dxa"/>
            <w:tcBorders>
              <w:top w:val="single" w:color="auto" w:sz="4" w:space="0"/>
              <w:left w:val="single" w:color="auto" w:sz="4" w:space="0"/>
              <w:bottom w:val="single" w:color="000000" w:sz="4" w:space="0"/>
              <w:right w:val="single" w:color="auto" w:sz="4" w:space="0"/>
            </w:tcBorders>
            <w:vAlign w:val="center"/>
          </w:tcPr>
          <w:p>
            <w:pPr>
              <w:widowControl/>
              <w:spacing w:before="100" w:beforeAutospacing="1" w:after="100" w:afterAutospacing="1"/>
              <w:jc w:val="center"/>
              <w:rPr>
                <w:rFonts w:hAnsi="宋体" w:eastAsia="仿宋_GB2312" w:cs="宋体"/>
                <w:color w:val="auto"/>
                <w:kern w:val="0"/>
                <w:sz w:val="24"/>
                <w:szCs w:val="24"/>
              </w:rPr>
            </w:pPr>
            <w:r>
              <w:rPr>
                <w:rFonts w:hint="eastAsia" w:hAnsi="宋体" w:eastAsia="仿宋_GB2312" w:cs="宋体"/>
                <w:color w:val="auto"/>
                <w:kern w:val="0"/>
                <w:sz w:val="24"/>
                <w:szCs w:val="24"/>
              </w:rPr>
              <w:t>建设项目及标段</w:t>
            </w:r>
          </w:p>
        </w:tc>
        <w:tc>
          <w:tcPr>
            <w:tcW w:w="2464" w:type="dxa"/>
            <w:tcBorders>
              <w:top w:val="single" w:color="auto" w:sz="4" w:space="0"/>
              <w:left w:val="single" w:color="auto" w:sz="4" w:space="0"/>
              <w:bottom w:val="single" w:color="000000" w:sz="4" w:space="0"/>
              <w:right w:val="single" w:color="000000" w:sz="4" w:space="0"/>
            </w:tcBorders>
            <w:vAlign w:val="center"/>
          </w:tcPr>
          <w:p>
            <w:pPr>
              <w:widowControl/>
              <w:spacing w:before="100" w:beforeAutospacing="1" w:after="100" w:afterAutospacing="1"/>
              <w:ind w:firstLine="451"/>
              <w:jc w:val="center"/>
              <w:rPr>
                <w:rFonts w:ascii="宋体" w:hAnsi="宋体" w:cs="宋体"/>
                <w:color w:val="auto"/>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547" w:hRule="atLeast"/>
          <w:jc w:val="center"/>
        </w:trPr>
        <w:tc>
          <w:tcPr>
            <w:tcW w:w="2128"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color w:val="auto"/>
                <w:kern w:val="0"/>
                <w:sz w:val="24"/>
                <w:szCs w:val="24"/>
              </w:rPr>
            </w:pPr>
            <w:r>
              <w:rPr>
                <w:rFonts w:hint="eastAsia" w:hAnsi="宋体" w:eastAsia="仿宋_GB2312" w:cs="宋体"/>
                <w:color w:val="auto"/>
                <w:kern w:val="0"/>
                <w:sz w:val="24"/>
                <w:szCs w:val="24"/>
              </w:rPr>
              <w:t>加分行为</w:t>
            </w:r>
          </w:p>
          <w:p>
            <w:pPr>
              <w:widowControl/>
              <w:spacing w:before="100" w:beforeAutospacing="1" w:after="100" w:afterAutospacing="1"/>
              <w:jc w:val="center"/>
              <w:rPr>
                <w:rFonts w:ascii="宋体" w:hAnsi="宋体" w:cs="宋体"/>
                <w:color w:val="auto"/>
                <w:kern w:val="0"/>
                <w:sz w:val="24"/>
                <w:szCs w:val="24"/>
              </w:rPr>
            </w:pPr>
            <w:r>
              <w:rPr>
                <w:rFonts w:hint="eastAsia" w:hAnsi="宋体" w:eastAsia="仿宋_GB2312" w:cs="宋体"/>
                <w:color w:val="auto"/>
                <w:kern w:val="0"/>
                <w:sz w:val="24"/>
                <w:szCs w:val="24"/>
              </w:rPr>
              <w:t>认定内容</w:t>
            </w:r>
          </w:p>
        </w:tc>
        <w:tc>
          <w:tcPr>
            <w:tcW w:w="6767" w:type="dxa"/>
            <w:gridSpan w:val="3"/>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both"/>
              <w:rPr>
                <w:rFonts w:hint="eastAsia" w:hAnsi="宋体" w:eastAsia="仿宋_GB2312" w:cs="宋体"/>
                <w:color w:val="auto"/>
                <w:kern w:val="0"/>
                <w:sz w:val="24"/>
                <w:szCs w:val="24"/>
                <w:lang w:eastAsia="zh-CN"/>
              </w:rPr>
            </w:pPr>
            <w:r>
              <w:rPr>
                <w:rFonts w:hint="eastAsia" w:hAnsi="宋体" w:eastAsia="仿宋_GB2312" w:cs="宋体"/>
                <w:color w:val="auto"/>
                <w:kern w:val="0"/>
                <w:sz w:val="24"/>
                <w:szCs w:val="24"/>
                <w:lang w:eastAsia="zh-CN"/>
              </w:rPr>
              <w:t>【</w:t>
            </w:r>
            <w:r>
              <w:rPr>
                <w:rFonts w:hint="eastAsia" w:hAnsi="宋体" w:eastAsia="仿宋_GB2312" w:cs="宋体"/>
                <w:color w:val="auto"/>
                <w:kern w:val="0"/>
                <w:sz w:val="24"/>
                <w:szCs w:val="24"/>
                <w:lang w:val="en-US" w:eastAsia="zh-CN"/>
              </w:rPr>
              <w:t>说明：</w:t>
            </w:r>
            <w:r>
              <w:rPr>
                <w:rFonts w:hint="eastAsia" w:hAnsi="宋体" w:eastAsia="仿宋_GB2312" w:cs="宋体"/>
                <w:color w:val="auto"/>
                <w:kern w:val="0"/>
                <w:sz w:val="24"/>
                <w:szCs w:val="24"/>
              </w:rPr>
              <w:t>包括加分行为发生时间和</w:t>
            </w:r>
            <w:r>
              <w:rPr>
                <w:rFonts w:hint="eastAsia" w:hAnsi="宋体" w:eastAsia="仿宋_GB2312" w:cs="宋体"/>
                <w:color w:val="auto"/>
                <w:kern w:val="0"/>
                <w:sz w:val="24"/>
                <w:szCs w:val="24"/>
                <w:lang w:val="en-US" w:eastAsia="zh-CN"/>
              </w:rPr>
              <w:t>人员、设备投入（投入人员多少、</w:t>
            </w:r>
            <w:r>
              <w:rPr>
                <w:rFonts w:hint="eastAsia" w:hAnsi="宋体" w:cs="宋体"/>
                <w:color w:val="auto"/>
                <w:kern w:val="0"/>
                <w:sz w:val="24"/>
                <w:szCs w:val="24"/>
                <w:lang w:val="en-US" w:eastAsia="zh-CN"/>
              </w:rPr>
              <w:t>船舶</w:t>
            </w:r>
            <w:r>
              <w:rPr>
                <w:rFonts w:hint="eastAsia" w:hAnsi="宋体" w:eastAsia="仿宋_GB2312" w:cs="宋体"/>
                <w:color w:val="auto"/>
                <w:kern w:val="0"/>
                <w:sz w:val="24"/>
                <w:szCs w:val="24"/>
              </w:rPr>
              <w:t>×</w:t>
            </w:r>
            <w:r>
              <w:rPr>
                <w:rFonts w:hint="eastAsia" w:hAnsi="宋体" w:cs="宋体"/>
                <w:color w:val="auto"/>
                <w:kern w:val="0"/>
                <w:sz w:val="24"/>
                <w:szCs w:val="24"/>
                <w:lang w:val="en-US" w:eastAsia="zh-CN"/>
              </w:rPr>
              <w:t>艘</w:t>
            </w:r>
            <w:r>
              <w:rPr>
                <w:rFonts w:hint="eastAsia" w:hAnsi="宋体" w:eastAsia="仿宋_GB2312" w:cs="宋体"/>
                <w:color w:val="auto"/>
                <w:kern w:val="0"/>
                <w:sz w:val="24"/>
                <w:szCs w:val="24"/>
              </w:rPr>
              <w:t>、挖掘机×台、装载机×台、推土机×台</w:t>
            </w:r>
            <w:r>
              <w:rPr>
                <w:rFonts w:hint="eastAsia" w:hAnsi="宋体" w:eastAsia="仿宋_GB2312" w:cs="宋体"/>
                <w:color w:val="auto"/>
                <w:kern w:val="0"/>
                <w:sz w:val="24"/>
                <w:szCs w:val="24"/>
                <w:lang w:eastAsia="zh-CN"/>
              </w:rPr>
              <w:t>、</w:t>
            </w:r>
            <w:r>
              <w:rPr>
                <w:rFonts w:hint="eastAsia" w:hAnsi="宋体" w:eastAsia="仿宋_GB2312" w:cs="宋体"/>
                <w:color w:val="auto"/>
                <w:kern w:val="0"/>
                <w:sz w:val="24"/>
                <w:szCs w:val="24"/>
                <w:lang w:val="en-US" w:eastAsia="zh-CN"/>
              </w:rPr>
              <w:t>抢险时间</w:t>
            </w:r>
            <w:r>
              <w:rPr>
                <w:rFonts w:hint="eastAsia" w:hAnsi="宋体" w:eastAsia="仿宋_GB2312" w:cs="宋体"/>
                <w:color w:val="auto"/>
                <w:kern w:val="0"/>
                <w:sz w:val="24"/>
                <w:szCs w:val="24"/>
              </w:rPr>
              <w:t>等</w:t>
            </w:r>
            <w:r>
              <w:rPr>
                <w:rFonts w:hint="eastAsia" w:hAnsi="宋体" w:eastAsia="仿宋_GB2312" w:cs="宋体"/>
                <w:color w:val="auto"/>
                <w:kern w:val="0"/>
                <w:sz w:val="24"/>
                <w:szCs w:val="24"/>
                <w:lang w:eastAsia="zh-CN"/>
              </w:rPr>
              <w:t>）</w:t>
            </w:r>
            <w:r>
              <w:rPr>
                <w:rFonts w:hint="eastAsia" w:hAnsi="宋体" w:eastAsia="仿宋_GB2312" w:cs="宋体"/>
                <w:color w:val="auto"/>
                <w:kern w:val="0"/>
                <w:sz w:val="24"/>
                <w:szCs w:val="24"/>
              </w:rPr>
              <w:t>简要介绍，相关</w:t>
            </w:r>
            <w:r>
              <w:rPr>
                <w:rFonts w:hint="eastAsia" w:hAnsi="宋体" w:eastAsia="仿宋_GB2312" w:cs="宋体"/>
                <w:color w:val="auto"/>
                <w:kern w:val="0"/>
                <w:sz w:val="24"/>
                <w:szCs w:val="24"/>
                <w:lang w:val="en-US" w:eastAsia="zh-CN"/>
              </w:rPr>
              <w:t>应急抢险证明</w:t>
            </w:r>
            <w:r>
              <w:rPr>
                <w:rFonts w:hint="eastAsia" w:hAnsi="宋体" w:eastAsia="仿宋_GB2312" w:cs="宋体"/>
                <w:color w:val="auto"/>
                <w:kern w:val="0"/>
                <w:sz w:val="24"/>
                <w:szCs w:val="24"/>
              </w:rPr>
              <w:t>材料</w:t>
            </w:r>
            <w:r>
              <w:rPr>
                <w:rFonts w:hint="eastAsia" w:hAnsi="宋体" w:eastAsia="仿宋_GB2312" w:cs="宋体"/>
                <w:color w:val="auto"/>
                <w:kern w:val="0"/>
                <w:sz w:val="24"/>
                <w:szCs w:val="24"/>
                <w:lang w:val="en-US" w:eastAsia="zh-CN"/>
              </w:rPr>
              <w:t>可</w:t>
            </w:r>
            <w:r>
              <w:rPr>
                <w:rFonts w:hint="eastAsia" w:hAnsi="宋体" w:eastAsia="仿宋_GB2312" w:cs="宋体"/>
                <w:color w:val="auto"/>
                <w:kern w:val="0"/>
                <w:sz w:val="24"/>
                <w:szCs w:val="24"/>
              </w:rPr>
              <w:t>附后。</w:t>
            </w:r>
            <w:r>
              <w:rPr>
                <w:rFonts w:hint="eastAsia" w:hAnsi="宋体" w:eastAsia="仿宋_GB2312" w:cs="宋体"/>
                <w:color w:val="auto"/>
                <w:kern w:val="0"/>
                <w:sz w:val="24"/>
                <w:szCs w:val="24"/>
                <w:lang w:eastAsia="zh-CN"/>
              </w:rPr>
              <w:t>】</w:t>
            </w:r>
          </w:p>
          <w:p>
            <w:pPr>
              <w:widowControl/>
              <w:spacing w:before="100" w:beforeAutospacing="1" w:after="100" w:afterAutospacing="1"/>
              <w:ind w:firstLine="451"/>
              <w:jc w:val="left"/>
              <w:rPr>
                <w:rFonts w:hint="default"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申请加分分值：</w:t>
            </w:r>
          </w:p>
          <w:p>
            <w:pPr>
              <w:widowControl/>
              <w:spacing w:before="100" w:beforeAutospacing="1" w:after="100" w:afterAutospacing="1"/>
              <w:ind w:firstLine="451"/>
              <w:jc w:val="center"/>
              <w:rPr>
                <w:rFonts w:hint="eastAsia" w:hAnsi="宋体" w:eastAsia="仿宋_GB2312" w:cs="宋体"/>
                <w:color w:val="auto"/>
                <w:kern w:val="0"/>
                <w:sz w:val="24"/>
                <w:szCs w:val="24"/>
              </w:rPr>
            </w:pPr>
          </w:p>
          <w:p>
            <w:pPr>
              <w:widowControl/>
              <w:spacing w:before="100" w:beforeAutospacing="1" w:after="100" w:afterAutospacing="1"/>
              <w:ind w:firstLine="451"/>
              <w:jc w:val="left"/>
              <w:rPr>
                <w:rFonts w:hint="eastAsia"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联系人:</w:t>
            </w:r>
          </w:p>
          <w:p>
            <w:pPr>
              <w:widowControl/>
              <w:spacing w:before="100" w:beforeAutospacing="1" w:after="100" w:afterAutospacing="1"/>
              <w:ind w:firstLine="451"/>
              <w:jc w:val="left"/>
              <w:rPr>
                <w:rFonts w:hint="default"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联系电话：</w:t>
            </w:r>
          </w:p>
          <w:p>
            <w:pPr>
              <w:tabs>
                <w:tab w:val="left" w:pos="7070"/>
                <w:tab w:val="left" w:pos="8255"/>
              </w:tabs>
              <w:adjustRightInd w:val="0"/>
              <w:snapToGrid w:val="0"/>
              <w:ind w:firstLine="1920" w:firstLineChars="800"/>
              <w:jc w:val="left"/>
              <w:rPr>
                <w:rFonts w:ascii="仿宋_GB2312" w:hAnsi="宋体" w:eastAsia="仿宋_GB2312"/>
                <w:color w:val="auto"/>
                <w:sz w:val="24"/>
                <w:szCs w:val="24"/>
              </w:rPr>
            </w:pPr>
            <w:r>
              <w:rPr>
                <w:rFonts w:hint="eastAsia" w:hAnsi="宋体" w:eastAsia="仿宋_GB2312" w:cs="宋体"/>
                <w:color w:val="auto"/>
                <w:kern w:val="0"/>
                <w:sz w:val="24"/>
                <w:szCs w:val="24"/>
                <w:lang w:val="en-US" w:eastAsia="zh-CN"/>
              </w:rPr>
              <w:t xml:space="preserve">     </w:t>
            </w:r>
            <w:r>
              <w:rPr>
                <w:rFonts w:hint="eastAsia" w:hAnsi="宋体" w:eastAsia="仿宋_GB2312" w:cs="宋体"/>
                <w:color w:val="auto"/>
                <w:kern w:val="0"/>
                <w:sz w:val="24"/>
                <w:szCs w:val="24"/>
              </w:rPr>
              <w:t>（</w:t>
            </w:r>
            <w:r>
              <w:rPr>
                <w:rFonts w:hint="eastAsia" w:hAnsi="宋体" w:eastAsia="仿宋_GB2312" w:cs="宋体"/>
                <w:color w:val="auto"/>
                <w:kern w:val="0"/>
                <w:sz w:val="24"/>
                <w:szCs w:val="24"/>
                <w:lang w:val="en-US" w:eastAsia="zh-CN"/>
              </w:rPr>
              <w:t>施工企业</w:t>
            </w:r>
            <w:r>
              <w:rPr>
                <w:rFonts w:hint="eastAsia" w:hAnsi="宋体" w:eastAsia="仿宋_GB2312" w:cs="宋体"/>
                <w:color w:val="auto"/>
                <w:kern w:val="0"/>
                <w:sz w:val="24"/>
                <w:szCs w:val="24"/>
              </w:rPr>
              <w:t>签章）</w:t>
            </w:r>
            <w:r>
              <w:rPr>
                <w:rFonts w:hint="eastAsia" w:ascii="仿宋_GB2312" w:hAnsi="宋体" w:eastAsia="仿宋_GB2312"/>
                <w:color w:val="auto"/>
                <w:sz w:val="24"/>
                <w:szCs w:val="24"/>
              </w:rPr>
              <w:t>：</w:t>
            </w:r>
            <w:r>
              <w:rPr>
                <w:rFonts w:hint="eastAsia" w:ascii="仿宋_GB2312" w:hAnsi="宋体" w:eastAsia="仿宋_GB2312"/>
                <w:color w:val="auto"/>
                <w:sz w:val="24"/>
                <w:szCs w:val="24"/>
                <w:u w:val="single"/>
              </w:rPr>
              <w:t xml:space="preserve">                 </w:t>
            </w:r>
            <w:r>
              <w:rPr>
                <w:rFonts w:hint="eastAsia" w:ascii="仿宋_GB2312" w:hAnsi="宋体" w:eastAsia="仿宋_GB2312"/>
                <w:color w:val="auto"/>
                <w:sz w:val="24"/>
                <w:szCs w:val="24"/>
              </w:rPr>
              <w:t xml:space="preserve">    </w:t>
            </w:r>
          </w:p>
          <w:p>
            <w:pPr>
              <w:widowControl/>
              <w:spacing w:before="100" w:beforeAutospacing="1" w:after="100" w:afterAutospacing="1"/>
              <w:ind w:firstLine="451"/>
              <w:jc w:val="center"/>
              <w:rPr>
                <w:rFonts w:hint="eastAsia" w:hAnsi="宋体" w:eastAsia="仿宋_GB2312" w:cs="宋体"/>
                <w:color w:val="auto"/>
                <w:kern w:val="0"/>
                <w:sz w:val="24"/>
                <w:szCs w:val="24"/>
              </w:rPr>
            </w:pPr>
            <w:r>
              <w:rPr>
                <w:rFonts w:hint="eastAsia" w:ascii="仿宋_GB2312" w:hAnsi="宋体" w:eastAsia="仿宋_GB2312"/>
                <w:color w:val="auto"/>
                <w:sz w:val="24"/>
                <w:szCs w:val="24"/>
              </w:rPr>
              <w:t xml:space="preserve">                日      期：</w:t>
            </w:r>
            <w:r>
              <w:rPr>
                <w:rFonts w:hint="eastAsia" w:ascii="仿宋_GB2312" w:hAnsi="宋体" w:eastAsia="仿宋_GB2312"/>
                <w:color w:val="auto"/>
                <w:sz w:val="24"/>
                <w:szCs w:val="24"/>
                <w:u w:val="single"/>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876" w:hRule="atLeast"/>
          <w:jc w:val="center"/>
        </w:trPr>
        <w:tc>
          <w:tcPr>
            <w:tcW w:w="2128"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hint="eastAsia"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有关单位</w:t>
            </w:r>
          </w:p>
          <w:p>
            <w:pPr>
              <w:widowControl/>
              <w:spacing w:before="100" w:beforeAutospacing="1" w:after="100" w:afterAutospacing="1"/>
              <w:jc w:val="center"/>
              <w:rPr>
                <w:rFonts w:ascii="宋体" w:hAnsi="宋体" w:cs="宋体"/>
                <w:color w:val="auto"/>
                <w:kern w:val="0"/>
                <w:sz w:val="24"/>
                <w:szCs w:val="24"/>
              </w:rPr>
            </w:pPr>
            <w:r>
              <w:rPr>
                <w:rFonts w:hint="eastAsia" w:hAnsi="宋体" w:eastAsia="仿宋_GB2312" w:cs="宋体"/>
                <w:color w:val="auto"/>
                <w:kern w:val="0"/>
                <w:sz w:val="24"/>
                <w:szCs w:val="24"/>
                <w:lang w:val="en-US" w:eastAsia="zh-CN"/>
              </w:rPr>
              <w:t>证明</w:t>
            </w:r>
            <w:r>
              <w:rPr>
                <w:rFonts w:hint="eastAsia" w:hAnsi="宋体" w:eastAsia="仿宋_GB2312" w:cs="宋体"/>
                <w:color w:val="auto"/>
                <w:kern w:val="0"/>
                <w:sz w:val="24"/>
                <w:szCs w:val="24"/>
              </w:rPr>
              <w:t>意见</w:t>
            </w:r>
          </w:p>
        </w:tc>
        <w:tc>
          <w:tcPr>
            <w:tcW w:w="6767" w:type="dxa"/>
            <w:gridSpan w:val="3"/>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ind w:firstLine="451"/>
              <w:jc w:val="center"/>
              <w:rPr>
                <w:rFonts w:hAnsi="宋体" w:eastAsia="仿宋_GB2312" w:cs="宋体"/>
                <w:color w:val="auto"/>
                <w:kern w:val="0"/>
                <w:sz w:val="24"/>
                <w:szCs w:val="24"/>
              </w:rPr>
            </w:pPr>
          </w:p>
          <w:p>
            <w:pPr>
              <w:widowControl/>
              <w:spacing w:before="100" w:beforeAutospacing="1" w:after="100" w:afterAutospacing="1"/>
              <w:ind w:firstLine="451"/>
              <w:jc w:val="left"/>
              <w:rPr>
                <w:rFonts w:hint="default"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是否同意；</w:t>
            </w:r>
          </w:p>
          <w:p>
            <w:pPr>
              <w:widowControl/>
              <w:spacing w:before="100" w:beforeAutospacing="1" w:after="100" w:afterAutospacing="1"/>
              <w:ind w:firstLine="451"/>
              <w:jc w:val="left"/>
              <w:rPr>
                <w:rFonts w:hint="default"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同意加分分值：</w:t>
            </w:r>
          </w:p>
          <w:p>
            <w:pPr>
              <w:widowControl/>
              <w:spacing w:before="100" w:beforeAutospacing="1" w:after="100" w:afterAutospacing="1"/>
              <w:ind w:firstLine="451"/>
              <w:jc w:val="left"/>
              <w:rPr>
                <w:rFonts w:hint="eastAsia"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联系人:</w:t>
            </w:r>
          </w:p>
          <w:p>
            <w:pPr>
              <w:widowControl/>
              <w:spacing w:before="100" w:beforeAutospacing="1" w:after="100" w:afterAutospacing="1"/>
              <w:ind w:firstLine="451"/>
              <w:jc w:val="left"/>
              <w:rPr>
                <w:rFonts w:hint="default"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联系电话：</w:t>
            </w:r>
          </w:p>
          <w:p>
            <w:pPr>
              <w:tabs>
                <w:tab w:val="left" w:pos="7070"/>
                <w:tab w:val="left" w:pos="8255"/>
              </w:tabs>
              <w:adjustRightInd w:val="0"/>
              <w:snapToGrid w:val="0"/>
              <w:ind w:firstLine="1920" w:firstLineChars="800"/>
              <w:jc w:val="left"/>
              <w:rPr>
                <w:rFonts w:ascii="仿宋_GB2312" w:hAnsi="宋体" w:eastAsia="仿宋_GB2312"/>
                <w:color w:val="auto"/>
                <w:sz w:val="24"/>
                <w:szCs w:val="24"/>
              </w:rPr>
            </w:pPr>
            <w:r>
              <w:rPr>
                <w:rFonts w:hint="eastAsia" w:hAnsi="宋体" w:eastAsia="仿宋_GB2312" w:cs="宋体"/>
                <w:color w:val="auto"/>
                <w:kern w:val="0"/>
                <w:sz w:val="24"/>
                <w:szCs w:val="24"/>
              </w:rPr>
              <w:t xml:space="preserve">   </w:t>
            </w:r>
            <w:r>
              <w:rPr>
                <w:rFonts w:hint="eastAsia" w:hAnsi="宋体" w:eastAsia="仿宋_GB2312" w:cs="宋体"/>
                <w:color w:val="auto"/>
                <w:kern w:val="0"/>
                <w:sz w:val="24"/>
                <w:szCs w:val="24"/>
                <w:lang w:val="en-US" w:eastAsia="zh-CN"/>
              </w:rPr>
              <w:t xml:space="preserve">     </w:t>
            </w:r>
            <w:r>
              <w:rPr>
                <w:rFonts w:hint="eastAsia" w:hAnsi="宋体" w:eastAsia="仿宋_GB2312" w:cs="宋体"/>
                <w:color w:val="auto"/>
                <w:kern w:val="0"/>
                <w:sz w:val="24"/>
                <w:szCs w:val="24"/>
              </w:rPr>
              <w:t>（</w:t>
            </w:r>
            <w:r>
              <w:rPr>
                <w:rFonts w:hint="eastAsia" w:hAnsi="宋体" w:eastAsia="仿宋_GB2312" w:cs="宋体"/>
                <w:color w:val="auto"/>
                <w:kern w:val="0"/>
                <w:sz w:val="24"/>
                <w:szCs w:val="24"/>
                <w:lang w:val="en-US" w:eastAsia="zh-CN"/>
              </w:rPr>
              <w:t>证明单位</w:t>
            </w:r>
            <w:r>
              <w:rPr>
                <w:rFonts w:hint="eastAsia" w:hAnsi="宋体" w:eastAsia="仿宋_GB2312" w:cs="宋体"/>
                <w:color w:val="auto"/>
                <w:kern w:val="0"/>
                <w:sz w:val="24"/>
                <w:szCs w:val="24"/>
              </w:rPr>
              <w:t>签章）</w:t>
            </w:r>
            <w:r>
              <w:rPr>
                <w:rFonts w:hint="eastAsia" w:ascii="仿宋_GB2312" w:hAnsi="宋体" w:eastAsia="仿宋_GB2312"/>
                <w:color w:val="auto"/>
                <w:sz w:val="24"/>
                <w:szCs w:val="24"/>
              </w:rPr>
              <w:t>：</w:t>
            </w:r>
            <w:r>
              <w:rPr>
                <w:rFonts w:hint="eastAsia" w:ascii="仿宋_GB2312" w:hAnsi="宋体" w:eastAsia="仿宋_GB2312"/>
                <w:color w:val="auto"/>
                <w:sz w:val="24"/>
                <w:szCs w:val="24"/>
                <w:u w:val="single"/>
              </w:rPr>
              <w:t xml:space="preserve">                 </w:t>
            </w:r>
            <w:r>
              <w:rPr>
                <w:rFonts w:hint="eastAsia" w:ascii="仿宋_GB2312" w:hAnsi="宋体" w:eastAsia="仿宋_GB2312"/>
                <w:color w:val="auto"/>
                <w:sz w:val="24"/>
                <w:szCs w:val="24"/>
              </w:rPr>
              <w:t xml:space="preserve">    </w:t>
            </w:r>
          </w:p>
          <w:p>
            <w:pPr>
              <w:widowControl/>
              <w:snapToGrid w:val="0"/>
              <w:ind w:firstLine="451"/>
              <w:jc w:val="center"/>
              <w:rPr>
                <w:rFonts w:ascii="宋体" w:hAnsi="宋体" w:cs="宋体"/>
                <w:color w:val="auto"/>
                <w:kern w:val="0"/>
                <w:sz w:val="24"/>
                <w:szCs w:val="24"/>
              </w:rPr>
            </w:pPr>
            <w:r>
              <w:rPr>
                <w:rFonts w:hint="eastAsia" w:ascii="仿宋_GB2312" w:hAnsi="宋体" w:eastAsia="仿宋_GB2312"/>
                <w:color w:val="auto"/>
                <w:sz w:val="24"/>
                <w:szCs w:val="24"/>
              </w:rPr>
              <w:t xml:space="preserve">                日      期：</w:t>
            </w:r>
            <w:r>
              <w:rPr>
                <w:rFonts w:hint="eastAsia" w:ascii="仿宋_GB2312" w:hAnsi="宋体" w:eastAsia="仿宋_GB2312"/>
                <w:color w:val="auto"/>
                <w:sz w:val="24"/>
                <w:szCs w:val="24"/>
                <w:u w:val="single"/>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28" w:hRule="atLeast"/>
          <w:jc w:val="center"/>
        </w:trPr>
        <w:tc>
          <w:tcPr>
            <w:tcW w:w="2128" w:type="dxa"/>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jc w:val="center"/>
              <w:rPr>
                <w:rFonts w:ascii="宋体" w:hAnsi="宋体" w:cs="宋体"/>
                <w:color w:val="auto"/>
                <w:kern w:val="0"/>
                <w:sz w:val="24"/>
                <w:szCs w:val="24"/>
              </w:rPr>
            </w:pPr>
            <w:r>
              <w:rPr>
                <w:rFonts w:hint="eastAsia" w:hAnsi="宋体" w:eastAsia="仿宋_GB2312" w:cs="宋体"/>
                <w:color w:val="auto"/>
                <w:kern w:val="0"/>
                <w:sz w:val="24"/>
                <w:szCs w:val="24"/>
              </w:rPr>
              <w:t>备</w:t>
            </w:r>
            <w:r>
              <w:rPr>
                <w:rFonts w:ascii="宋体" w:hAnsi="宋体" w:cs="宋体"/>
                <w:color w:val="auto"/>
                <w:kern w:val="0"/>
                <w:sz w:val="24"/>
                <w:szCs w:val="24"/>
              </w:rPr>
              <w:t xml:space="preserve">  </w:t>
            </w:r>
            <w:r>
              <w:rPr>
                <w:rFonts w:hint="eastAsia" w:hAnsi="宋体" w:eastAsia="仿宋_GB2312" w:cs="宋体"/>
                <w:color w:val="auto"/>
                <w:kern w:val="0"/>
                <w:sz w:val="24"/>
                <w:szCs w:val="24"/>
              </w:rPr>
              <w:t>注</w:t>
            </w:r>
          </w:p>
        </w:tc>
        <w:tc>
          <w:tcPr>
            <w:tcW w:w="6767" w:type="dxa"/>
            <w:gridSpan w:val="3"/>
            <w:tcBorders>
              <w:top w:val="single" w:color="000000" w:sz="4" w:space="0"/>
              <w:left w:val="single" w:color="000000" w:sz="4" w:space="0"/>
              <w:bottom w:val="single" w:color="000000" w:sz="4" w:space="0"/>
              <w:right w:val="single" w:color="000000" w:sz="4" w:space="0"/>
            </w:tcBorders>
            <w:vAlign w:val="center"/>
          </w:tcPr>
          <w:p>
            <w:pPr>
              <w:widowControl/>
              <w:spacing w:before="100" w:beforeAutospacing="1" w:after="100" w:afterAutospacing="1"/>
              <w:ind w:firstLine="451"/>
              <w:jc w:val="left"/>
              <w:rPr>
                <w:rFonts w:ascii="宋体" w:hAnsi="宋体" w:cs="宋体"/>
                <w:color w:val="auto"/>
                <w:kern w:val="0"/>
                <w:sz w:val="24"/>
                <w:szCs w:val="24"/>
              </w:rPr>
            </w:pPr>
          </w:p>
        </w:tc>
      </w:tr>
    </w:tbl>
    <w:p>
      <w:pPr>
        <w:keepNext w:val="0"/>
        <w:keepLines w:val="0"/>
        <w:pageBreakBefore w:val="0"/>
        <w:widowControl/>
        <w:kinsoku/>
        <w:wordWrap/>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outlineLvl w:val="9"/>
        <w:rPr>
          <w:rFonts w:hint="eastAsia"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说明：</w:t>
      </w:r>
    </w:p>
    <w:p>
      <w:pPr>
        <w:keepNext w:val="0"/>
        <w:keepLines w:val="0"/>
        <w:pageBreakBefore w:val="0"/>
        <w:widowControl/>
        <w:numPr>
          <w:ilvl w:val="0"/>
          <w:numId w:val="2"/>
        </w:numPr>
        <w:kinsoku/>
        <w:wordWrap/>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outlineLvl w:val="9"/>
        <w:rPr>
          <w:rFonts w:hint="eastAsia"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本表及相关信息将予以公示5个工作日后公告，请填报单位及相关证明单位对加分行为认定涉及的抢险救灾的真实性负责。</w:t>
      </w:r>
    </w:p>
    <w:p>
      <w:pPr>
        <w:keepNext w:val="0"/>
        <w:keepLines w:val="0"/>
        <w:pageBreakBefore w:val="0"/>
        <w:widowControl/>
        <w:numPr>
          <w:ilvl w:val="0"/>
          <w:numId w:val="2"/>
        </w:numPr>
        <w:kinsoku/>
        <w:wordWrap/>
        <w:overflowPunct/>
        <w:topLinePunct w:val="0"/>
        <w:autoSpaceDE/>
        <w:autoSpaceDN/>
        <w:bidi w:val="0"/>
        <w:adjustRightInd/>
        <w:snapToGrid/>
        <w:spacing w:beforeAutospacing="0" w:afterAutospacing="0" w:line="240" w:lineRule="auto"/>
        <w:ind w:left="0" w:leftChars="0" w:right="0" w:rightChars="0" w:firstLine="0" w:firstLineChars="0"/>
        <w:jc w:val="left"/>
        <w:textAlignment w:val="auto"/>
        <w:outlineLvl w:val="9"/>
        <w:rPr>
          <w:rFonts w:hint="default" w:hAnsi="宋体" w:eastAsia="仿宋_GB2312" w:cs="宋体"/>
          <w:color w:val="auto"/>
          <w:kern w:val="0"/>
          <w:sz w:val="24"/>
          <w:szCs w:val="24"/>
          <w:lang w:val="en-US" w:eastAsia="zh-CN"/>
        </w:rPr>
      </w:pPr>
      <w:r>
        <w:rPr>
          <w:rFonts w:hint="eastAsia" w:hAnsi="宋体" w:eastAsia="仿宋_GB2312" w:cs="宋体"/>
          <w:color w:val="auto"/>
          <w:kern w:val="0"/>
          <w:sz w:val="24"/>
          <w:szCs w:val="24"/>
          <w:lang w:val="en-US" w:eastAsia="zh-CN"/>
        </w:rPr>
        <w:t>如经核查不属实的，将对申请单位予以信用扣分，并通报相关审核单位。</w:t>
      </w:r>
    </w:p>
    <w:p>
      <w:pPr>
        <w:rPr>
          <w:rFonts w:hint="eastAsia" w:ascii="仿宋_GB2312" w:hAnsi="仿宋" w:cs="仿宋_GB2312"/>
          <w:color w:val="auto"/>
          <w:sz w:val="28"/>
          <w:szCs w:val="28"/>
        </w:rPr>
      </w:pPr>
    </w:p>
    <w:sectPr>
      <w:pgSz w:w="11906" w:h="16838"/>
      <w:pgMar w:top="1440" w:right="1800" w:bottom="1440" w:left="1800" w:header="851" w:footer="992"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AFF" w:usb1="C0007843" w:usb2="00000009" w:usb3="00000000" w:csb0="400001FF" w:csb1="FFFF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jc w:val="right"/>
    </w:pPr>
    <w:r>
      <w:rPr>
        <w:sz w:val="3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Fonts w:hint="eastAsia" w:eastAsia="仿宋_GB2312"/>
                              <w:sz w:val="28"/>
                              <w:szCs w:val="28"/>
                              <w:lang w:eastAsia="zh-CN"/>
                            </w:rPr>
                          </w:pPr>
                          <w:r>
                            <w:rPr>
                              <w:rFonts w:hint="eastAsia"/>
                              <w:sz w:val="28"/>
                              <w:szCs w:val="28"/>
                              <w:lang w:eastAsia="zh-CN"/>
                            </w:rPr>
                            <w:t xml:space="preserve">第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13</w:t>
                          </w:r>
                          <w:r>
                            <w:rPr>
                              <w:rFonts w:hint="eastAsia"/>
                              <w:sz w:val="28"/>
                              <w:szCs w:val="28"/>
                              <w:lang w:eastAsia="zh-CN"/>
                            </w:rPr>
                            <w:fldChar w:fldCharType="end"/>
                          </w:r>
                          <w:r>
                            <w:rPr>
                              <w:rFonts w:hint="eastAsia"/>
                              <w:sz w:val="28"/>
                              <w:szCs w:val="28"/>
                              <w:lang w:eastAsia="zh-CN"/>
                            </w:rPr>
                            <w:t xml:space="preserve"> 页 共 </w:t>
                          </w:r>
                          <w:r>
                            <w:rPr>
                              <w:rFonts w:hint="eastAsia"/>
                              <w:sz w:val="28"/>
                              <w:szCs w:val="28"/>
                              <w:lang w:eastAsia="zh-CN"/>
                            </w:rPr>
                            <w:fldChar w:fldCharType="begin"/>
                          </w:r>
                          <w:r>
                            <w:rPr>
                              <w:rFonts w:hint="eastAsia"/>
                              <w:sz w:val="28"/>
                              <w:szCs w:val="28"/>
                              <w:lang w:eastAsia="zh-CN"/>
                            </w:rPr>
                            <w:instrText xml:space="preserve"> NUMPAGES  \* MERGEFORMAT </w:instrText>
                          </w:r>
                          <w:r>
                            <w:rPr>
                              <w:rFonts w:hint="eastAsia"/>
                              <w:sz w:val="28"/>
                              <w:szCs w:val="28"/>
                              <w:lang w:eastAsia="zh-CN"/>
                            </w:rPr>
                            <w:fldChar w:fldCharType="separate"/>
                          </w:r>
                          <w:r>
                            <w:rPr>
                              <w:rFonts w:hint="eastAsia"/>
                              <w:sz w:val="28"/>
                              <w:szCs w:val="28"/>
                              <w:lang w:eastAsia="zh-CN"/>
                            </w:rPr>
                            <w:t>45</w:t>
                          </w:r>
                          <w:r>
                            <w:rPr>
                              <w:rFonts w:hint="eastAsia"/>
                              <w:sz w:val="28"/>
                              <w:szCs w:val="28"/>
                              <w:lang w:eastAsia="zh-CN"/>
                            </w:rPr>
                            <w:fldChar w:fldCharType="end"/>
                          </w:r>
                          <w:r>
                            <w:rPr>
                              <w:rFonts w:hint="eastAsia"/>
                              <w:sz w:val="28"/>
                              <w:szCs w:val="28"/>
                              <w:lang w:eastAsia="zh-CN"/>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pStyle w:val="2"/>
                      <w:rPr>
                        <w:rFonts w:hint="eastAsia" w:eastAsia="仿宋_GB2312"/>
                        <w:sz w:val="28"/>
                        <w:szCs w:val="28"/>
                        <w:lang w:eastAsia="zh-CN"/>
                      </w:rPr>
                    </w:pPr>
                    <w:r>
                      <w:rPr>
                        <w:rFonts w:hint="eastAsia"/>
                        <w:sz w:val="28"/>
                        <w:szCs w:val="28"/>
                        <w:lang w:eastAsia="zh-CN"/>
                      </w:rPr>
                      <w:t xml:space="preserve">第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13</w:t>
                    </w:r>
                    <w:r>
                      <w:rPr>
                        <w:rFonts w:hint="eastAsia"/>
                        <w:sz w:val="28"/>
                        <w:szCs w:val="28"/>
                        <w:lang w:eastAsia="zh-CN"/>
                      </w:rPr>
                      <w:fldChar w:fldCharType="end"/>
                    </w:r>
                    <w:r>
                      <w:rPr>
                        <w:rFonts w:hint="eastAsia"/>
                        <w:sz w:val="28"/>
                        <w:szCs w:val="28"/>
                        <w:lang w:eastAsia="zh-CN"/>
                      </w:rPr>
                      <w:t xml:space="preserve"> 页 共 </w:t>
                    </w:r>
                    <w:r>
                      <w:rPr>
                        <w:rFonts w:hint="eastAsia"/>
                        <w:sz w:val="28"/>
                        <w:szCs w:val="28"/>
                        <w:lang w:eastAsia="zh-CN"/>
                      </w:rPr>
                      <w:fldChar w:fldCharType="begin"/>
                    </w:r>
                    <w:r>
                      <w:rPr>
                        <w:rFonts w:hint="eastAsia"/>
                        <w:sz w:val="28"/>
                        <w:szCs w:val="28"/>
                        <w:lang w:eastAsia="zh-CN"/>
                      </w:rPr>
                      <w:instrText xml:space="preserve"> NUMPAGES  \* MERGEFORMAT </w:instrText>
                    </w:r>
                    <w:r>
                      <w:rPr>
                        <w:rFonts w:hint="eastAsia"/>
                        <w:sz w:val="28"/>
                        <w:szCs w:val="28"/>
                        <w:lang w:eastAsia="zh-CN"/>
                      </w:rPr>
                      <w:fldChar w:fldCharType="separate"/>
                    </w:r>
                    <w:r>
                      <w:rPr>
                        <w:rFonts w:hint="eastAsia"/>
                        <w:sz w:val="28"/>
                        <w:szCs w:val="28"/>
                        <w:lang w:eastAsia="zh-CN"/>
                      </w:rPr>
                      <w:t>45</w:t>
                    </w:r>
                    <w:r>
                      <w:rPr>
                        <w:rFonts w:hint="eastAsia"/>
                        <w:sz w:val="28"/>
                        <w:szCs w:val="28"/>
                        <w:lang w:eastAsia="zh-CN"/>
                      </w:rPr>
                      <w:fldChar w:fldCharType="end"/>
                    </w:r>
                    <w:r>
                      <w:rPr>
                        <w:rFonts w:hint="eastAsia"/>
                        <w:sz w:val="28"/>
                        <w:szCs w:val="28"/>
                        <w:lang w:eastAsia="zh-CN"/>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A41DAE3"/>
    <w:multiLevelType w:val="singleLevel"/>
    <w:tmpl w:val="9A41DAE3"/>
    <w:lvl w:ilvl="0" w:tentative="0">
      <w:start w:val="2"/>
      <w:numFmt w:val="chineseCounting"/>
      <w:suff w:val="nothing"/>
      <w:lvlText w:val="%1、"/>
      <w:lvlJc w:val="left"/>
      <w:rPr>
        <w:rFonts w:hint="eastAsia"/>
      </w:rPr>
    </w:lvl>
  </w:abstractNum>
  <w:abstractNum w:abstractNumId="1">
    <w:nsid w:val="5FD892A4"/>
    <w:multiLevelType w:val="singleLevel"/>
    <w:tmpl w:val="5FD892A4"/>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6592CDC"/>
    <w:rsid w:val="05AC6A10"/>
    <w:rsid w:val="096B606A"/>
    <w:rsid w:val="0B287F8B"/>
    <w:rsid w:val="0C9637BF"/>
    <w:rsid w:val="1910157F"/>
    <w:rsid w:val="19D509A9"/>
    <w:rsid w:val="228D7454"/>
    <w:rsid w:val="23810BFF"/>
    <w:rsid w:val="266134CE"/>
    <w:rsid w:val="28B50242"/>
    <w:rsid w:val="2F1D28FB"/>
    <w:rsid w:val="309A1F33"/>
    <w:rsid w:val="34D11788"/>
    <w:rsid w:val="34E91E16"/>
    <w:rsid w:val="35B92856"/>
    <w:rsid w:val="37BB034F"/>
    <w:rsid w:val="38B72F91"/>
    <w:rsid w:val="393F7F26"/>
    <w:rsid w:val="3BC20E5A"/>
    <w:rsid w:val="418D55C5"/>
    <w:rsid w:val="49A706A1"/>
    <w:rsid w:val="49D57D29"/>
    <w:rsid w:val="4D56256A"/>
    <w:rsid w:val="50C001B2"/>
    <w:rsid w:val="56592CDC"/>
    <w:rsid w:val="5C6E3ECA"/>
    <w:rsid w:val="5E8064B6"/>
    <w:rsid w:val="5E883595"/>
    <w:rsid w:val="6BA74C4A"/>
    <w:rsid w:val="70DC39E7"/>
    <w:rsid w:val="7313641D"/>
    <w:rsid w:val="74A45AC3"/>
    <w:rsid w:val="7A0E1F90"/>
    <w:rsid w:val="7D1358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widowControl/>
      <w:tabs>
        <w:tab w:val="center" w:pos="4153"/>
        <w:tab w:val="right" w:pos="8306"/>
      </w:tabs>
      <w:snapToGrid w:val="0"/>
      <w:spacing w:before="240" w:line="380" w:lineRule="atLeast"/>
      <w:jc w:val="center"/>
    </w:pPr>
    <w:rPr>
      <w:rFonts w:eastAsia="仿宋_GB2312"/>
      <w:spacing w:val="34"/>
      <w:kern w:val="0"/>
      <w:sz w:val="32"/>
      <w:szCs w:val="20"/>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uiPriority w:val="0"/>
  </w:style>
  <w:style w:type="character" w:customStyle="1" w:styleId="7">
    <w:name w:val="font41"/>
    <w:basedOn w:val="4"/>
    <w:qFormat/>
    <w:uiPriority w:val="0"/>
    <w:rPr>
      <w:rFonts w:hint="eastAsia" w:ascii="仿宋" w:hAnsi="仿宋" w:eastAsia="仿宋" w:cs="仿宋"/>
      <w:color w:val="FF0000"/>
      <w:sz w:val="18"/>
      <w:szCs w:val="18"/>
      <w:u w:val="none"/>
    </w:rPr>
  </w:style>
  <w:style w:type="character" w:customStyle="1" w:styleId="8">
    <w:name w:val="font51"/>
    <w:basedOn w:val="4"/>
    <w:qFormat/>
    <w:uiPriority w:val="0"/>
    <w:rPr>
      <w:rFonts w:hint="eastAsia" w:ascii="仿宋" w:hAnsi="仿宋" w:eastAsia="仿宋" w:cs="仿宋"/>
      <w:color w:val="000000"/>
      <w:sz w:val="18"/>
      <w:szCs w:val="18"/>
      <w:u w:val="none"/>
    </w:rPr>
  </w:style>
  <w:style w:type="character" w:customStyle="1" w:styleId="9">
    <w:name w:val="font21"/>
    <w:basedOn w:val="4"/>
    <w:uiPriority w:val="0"/>
    <w:rPr>
      <w:rFonts w:hint="eastAsia" w:ascii="仿宋" w:hAnsi="仿宋" w:eastAsia="仿宋" w:cs="仿宋"/>
      <w:color w:val="000000"/>
      <w:sz w:val="18"/>
      <w:szCs w:val="18"/>
      <w:u w:val="none"/>
    </w:rPr>
  </w:style>
  <w:style w:type="character" w:customStyle="1" w:styleId="10">
    <w:name w:val="font11"/>
    <w:basedOn w:val="4"/>
    <w:qFormat/>
    <w:uiPriority w:val="0"/>
    <w:rPr>
      <w:rFonts w:hint="eastAsia" w:ascii="宋体" w:hAnsi="宋体" w:eastAsia="宋体" w:cs="宋体"/>
      <w:color w:val="000000"/>
      <w:sz w:val="18"/>
      <w:szCs w:val="18"/>
      <w:u w:val="none"/>
    </w:rPr>
  </w:style>
  <w:style w:type="character" w:customStyle="1" w:styleId="11">
    <w:name w:val="font01"/>
    <w:basedOn w:val="4"/>
    <w:qFormat/>
    <w:uiPriority w:val="0"/>
    <w:rPr>
      <w:rFonts w:hint="eastAsia" w:ascii="仿宋" w:hAnsi="仿宋" w:eastAsia="仿宋" w:cs="仿宋"/>
      <w:color w:val="000000"/>
      <w:sz w:val="18"/>
      <w:szCs w:val="18"/>
      <w:u w:val="none"/>
    </w:rPr>
  </w:style>
  <w:style w:type="paragraph" w:customStyle="1" w:styleId="12">
    <w:name w:val="主题词"/>
    <w:basedOn w:val="1"/>
    <w:qFormat/>
    <w:uiPriority w:val="0"/>
    <w:pPr>
      <w:widowControl/>
      <w:spacing w:line="560" w:lineRule="atLeast"/>
    </w:pPr>
    <w:rPr>
      <w:rFonts w:eastAsia="黑体"/>
      <w:spacing w:val="8"/>
      <w:kern w:val="0"/>
      <w:sz w:val="32"/>
      <w:szCs w:val="20"/>
    </w:rPr>
  </w:style>
  <w:style w:type="paragraph" w:customStyle="1" w:styleId="13">
    <w:name w:val="抄送单位"/>
    <w:basedOn w:val="1"/>
    <w:uiPriority w:val="0"/>
    <w:pPr>
      <w:widowControl/>
      <w:spacing w:line="560" w:lineRule="atLeast"/>
      <w:ind w:left="1276" w:hanging="936"/>
    </w:pPr>
    <w:rPr>
      <w:rFonts w:eastAsia="仿宋_GB2312"/>
      <w:spacing w:val="30"/>
      <w:kern w:val="0"/>
      <w:sz w:val="32"/>
      <w:szCs w:val="20"/>
    </w:rPr>
  </w:style>
  <w:style w:type="character" w:customStyle="1" w:styleId="14">
    <w:name w:val="抄送单位 Char"/>
    <w:qFormat/>
    <w:uiPriority w:val="0"/>
    <w:rPr>
      <w:rFonts w:eastAsia="仿宋_GB2312"/>
      <w:spacing w:val="30"/>
      <w:sz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wmf"/><Relationship Id="rId8" Type="http://schemas.openxmlformats.org/officeDocument/2006/relationships/image" Target="media/image1.wmf"/><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7.wmf"/><Relationship Id="rId13" Type="http://schemas.openxmlformats.org/officeDocument/2006/relationships/image" Target="media/image6.wmf"/><Relationship Id="rId12" Type="http://schemas.openxmlformats.org/officeDocument/2006/relationships/image" Target="media/image5.wmf"/><Relationship Id="rId11" Type="http://schemas.openxmlformats.org/officeDocument/2006/relationships/image" Target="media/image4.wmf"/><Relationship Id="rId10" Type="http://schemas.openxmlformats.org/officeDocument/2006/relationships/image" Target="media/image3.wmf"/><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省交通运输厅</Company>
  <Pages>1</Pages>
  <Words>0</Words>
  <Characters>0</Characters>
  <Lines>0</Lines>
  <Paragraphs>0</Paragraphs>
  <TotalTime>4</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2020-09-24T01:08:00Z</dcterms:created>
  <dc:creator>阳海林</dc:creator>
  <cp:lastModifiedBy>黄进阳</cp:lastModifiedBy>
  <dcterms:modified xsi:type="dcterms:W3CDTF">2020-12-16T01:01:21Z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